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05816338"/>
        <w:docPartObj>
          <w:docPartGallery w:val="Cover Pages"/>
          <w:docPartUnique/>
        </w:docPartObj>
      </w:sdtPr>
      <w:sdtEndPr/>
      <w:sdtContent>
        <w:p w14:paraId="06E990BA" w14:textId="64E807B4" w:rsidR="00FD72BD" w:rsidRDefault="00FD72BD">
          <w:r>
            <w:rPr>
              <w:noProof/>
              <w:lang w:val="es-ES" w:eastAsia="es-ES"/>
            </w:rPr>
            <w:drawing>
              <wp:anchor distT="0" distB="0" distL="114300" distR="114300" simplePos="0" relativeHeight="251658240" behindDoc="0" locked="0" layoutInCell="1" allowOverlap="1" wp14:anchorId="6CA4EB75" wp14:editId="2645806C">
                <wp:simplePos x="0" y="0"/>
                <wp:positionH relativeFrom="margin">
                  <wp:align>left</wp:align>
                </wp:positionH>
                <wp:positionV relativeFrom="margin">
                  <wp:align>top</wp:align>
                </wp:positionV>
                <wp:extent cx="2692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914400"/>
                        </a:xfrm>
                        <a:prstGeom prst="rect">
                          <a:avLst/>
                        </a:prstGeom>
                      </pic:spPr>
                    </pic:pic>
                  </a:graphicData>
                </a:graphic>
                <wp14:sizeRelH relativeFrom="margin">
                  <wp14:pctWidth>0</wp14:pctWidth>
                </wp14:sizeRelH>
                <wp14:sizeRelV relativeFrom="margin">
                  <wp14:pctHeight>0</wp14:pctHeight>
                </wp14:sizeRelV>
              </wp:anchor>
            </w:drawing>
          </w:r>
        </w:p>
        <w:p w14:paraId="4D8B24B0" w14:textId="5F5A0D15" w:rsidR="00FD72BD" w:rsidRDefault="008C3250">
          <w:r>
            <w:rPr>
              <w:noProof/>
              <w:lang w:eastAsia="it-IT"/>
            </w:rPr>
            <mc:AlternateContent>
              <mc:Choice Requires="wps">
                <w:drawing>
                  <wp:anchor distT="45720" distB="45720" distL="114300" distR="114300" simplePos="0" relativeHeight="251664384" behindDoc="0" locked="0" layoutInCell="1" allowOverlap="1" wp14:anchorId="186D2F95" wp14:editId="7FF14AB5">
                    <wp:simplePos x="0" y="0"/>
                    <wp:positionH relativeFrom="margin">
                      <wp:posOffset>-638175</wp:posOffset>
                    </wp:positionH>
                    <wp:positionV relativeFrom="paragraph">
                      <wp:posOffset>5928360</wp:posOffset>
                    </wp:positionV>
                    <wp:extent cx="3657600" cy="2409825"/>
                    <wp:effectExtent l="0" t="0" r="19050" b="28575"/>
                    <wp:wrapThrough wrapText="bothSides">
                      <wp:wrapPolygon edited="0">
                        <wp:start x="0" y="0"/>
                        <wp:lineTo x="0" y="21685"/>
                        <wp:lineTo x="21600" y="21685"/>
                        <wp:lineTo x="21600" y="0"/>
                        <wp:lineTo x="0" y="0"/>
                      </wp:wrapPolygon>
                    </wp:wrapThrough>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09825"/>
                            </a:xfrm>
                            <a:prstGeom prst="rect">
                              <a:avLst/>
                            </a:prstGeom>
                            <a:solidFill>
                              <a:schemeClr val="accent2">
                                <a:lumMod val="20000"/>
                                <a:lumOff val="80000"/>
                              </a:schemeClr>
                            </a:solidFill>
                            <a:ln w="19050">
                              <a:solidFill>
                                <a:srgbClr val="993366"/>
                              </a:solidFill>
                              <a:miter lim="800000"/>
                              <a:headEnd/>
                              <a:tailEnd/>
                            </a:ln>
                          </wps:spPr>
                          <wps:txbx>
                            <w:txbxContent>
                              <w:p w14:paraId="77158CBE" w14:textId="77777777" w:rsidR="004D1982" w:rsidRPr="008C3250" w:rsidRDefault="004D1982" w:rsidP="004D1982">
                                <w:pPr>
                                  <w:jc w:val="center"/>
                                  <w:rPr>
                                    <w:b/>
                                    <w:i/>
                                    <w:iCs/>
                                    <w:color w:val="993366"/>
                                    <w:sz w:val="22"/>
                                    <w:szCs w:val="18"/>
                                    <w:u w:val="single"/>
                                  </w:rPr>
                                </w:pPr>
                                <w:r w:rsidRPr="008C3250">
                                  <w:rPr>
                                    <w:b/>
                                    <w:i/>
                                    <w:iCs/>
                                    <w:color w:val="993366"/>
                                    <w:sz w:val="22"/>
                                    <w:szCs w:val="18"/>
                                    <w:u w:val="single"/>
                                  </w:rPr>
                                  <w:t>DISCLAIMER</w:t>
                                </w:r>
                              </w:p>
                              <w:p w14:paraId="10C54173" w14:textId="77777777" w:rsidR="004D1982" w:rsidRPr="008C3250" w:rsidRDefault="004D1982" w:rsidP="004D1982">
                                <w:pPr>
                                  <w:spacing w:after="100"/>
                                  <w:ind w:left="142" w:right="45"/>
                                  <w:rPr>
                                    <w:b/>
                                    <w:iCs/>
                                    <w:color w:val="993366"/>
                                    <w:sz w:val="22"/>
                                    <w:szCs w:val="18"/>
                                  </w:rPr>
                                </w:pPr>
                                <w:r w:rsidRPr="008C3250">
                                  <w:rPr>
                                    <w:iCs/>
                                    <w:color w:val="993366"/>
                                    <w:sz w:val="22"/>
                                    <w:szCs w:val="18"/>
                                  </w:rPr>
                                  <w:t xml:space="preserve">This </w:t>
                                </w:r>
                                <w:r w:rsidRPr="008C3250">
                                  <w:rPr>
                                    <w:b/>
                                    <w:iCs/>
                                    <w:color w:val="993366"/>
                                    <w:sz w:val="22"/>
                                    <w:szCs w:val="18"/>
                                    <w:u w:val="single"/>
                                  </w:rPr>
                                  <w:t>non-binding document</w:t>
                                </w:r>
                                <w:r w:rsidRPr="008C3250">
                                  <w:rPr>
                                    <w:b/>
                                    <w:iCs/>
                                    <w:color w:val="993366"/>
                                    <w:sz w:val="22"/>
                                    <w:szCs w:val="18"/>
                                  </w:rPr>
                                  <w:t xml:space="preserve"> </w:t>
                                </w:r>
                                <w:r w:rsidRPr="008C3250">
                                  <w:rPr>
                                    <w:iCs/>
                                    <w:color w:val="993366"/>
                                    <w:sz w:val="22"/>
                                    <w:szCs w:val="18"/>
                                  </w:rPr>
                                  <w:t xml:space="preserve">has been developed by the TESIM project. It does not necessarily reflect the views of the European Commission on the topic, and is presented to programme and project practitioners </w:t>
                                </w:r>
                                <w:r w:rsidRPr="008C3250">
                                  <w:rPr>
                                    <w:b/>
                                    <w:iCs/>
                                    <w:color w:val="993366"/>
                                    <w:sz w:val="22"/>
                                    <w:szCs w:val="18"/>
                                    <w:u w:val="single"/>
                                  </w:rPr>
                                  <w:t>for</w:t>
                                </w:r>
                                <w:r w:rsidRPr="008C3250">
                                  <w:rPr>
                                    <w:iCs/>
                                    <w:color w:val="993366"/>
                                    <w:sz w:val="22"/>
                                    <w:szCs w:val="18"/>
                                    <w:u w:val="single"/>
                                  </w:rPr>
                                  <w:t xml:space="preserve"> </w:t>
                                </w:r>
                                <w:r w:rsidRPr="008C3250">
                                  <w:rPr>
                                    <w:b/>
                                    <w:iCs/>
                                    <w:color w:val="993366"/>
                                    <w:sz w:val="22"/>
                                    <w:szCs w:val="18"/>
                                    <w:u w:val="single"/>
                                  </w:rPr>
                                  <w:t>illustrative purposes only</w:t>
                                </w:r>
                                <w:r w:rsidRPr="008C3250">
                                  <w:rPr>
                                    <w:b/>
                                    <w:iCs/>
                                    <w:color w:val="993366"/>
                                    <w:sz w:val="22"/>
                                    <w:szCs w:val="18"/>
                                  </w:rPr>
                                  <w:t>.</w:t>
                                </w:r>
                              </w:p>
                              <w:p w14:paraId="7A6C85F5" w14:textId="77777777" w:rsidR="004D1982" w:rsidRPr="008C3250" w:rsidRDefault="004D1982" w:rsidP="004D1982">
                                <w:pPr>
                                  <w:ind w:left="142" w:right="43"/>
                                  <w:rPr>
                                    <w:iCs/>
                                    <w:color w:val="993366"/>
                                    <w:sz w:val="22"/>
                                    <w:szCs w:val="18"/>
                                  </w:rPr>
                                </w:pPr>
                                <w:r w:rsidRPr="008C3250">
                                  <w:rPr>
                                    <w:iCs/>
                                    <w:color w:val="993366"/>
                                    <w:sz w:val="22"/>
                                    <w:szCs w:val="18"/>
                                  </w:rPr>
                                  <w:t xml:space="preserve">In case the document is endorsed by an ENI CBC programme and renders it compulsory for use by project beneficiaries, </w:t>
                                </w:r>
                                <w:r w:rsidRPr="008C3250">
                                  <w:rPr>
                                    <w:b/>
                                    <w:iCs/>
                                    <w:color w:val="993366"/>
                                    <w:sz w:val="22"/>
                                    <w:szCs w:val="18"/>
                                    <w:u w:val="single"/>
                                  </w:rPr>
                                  <w:t>neither TESIM experts nor the TESIM consortium members shall be held liable for its contents</w:t>
                                </w:r>
                                <w:r w:rsidRPr="008C3250">
                                  <w:rPr>
                                    <w:iCs/>
                                    <w:color w:val="993366"/>
                                    <w:sz w:val="22"/>
                                    <w:szCs w:val="18"/>
                                  </w:rPr>
                                  <w:t xml:space="preserve">, in particular as far as audit findings on the eligibility of expenditure are concerned.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D2F95" id="_x0000_t202" coordsize="21600,21600" o:spt="202" path="m,l,21600r21600,l21600,xe">
                    <v:stroke joinstyle="miter"/>
                    <v:path gradientshapeok="t" o:connecttype="rect"/>
                  </v:shapetype>
                  <v:shape id="Text Box 217" o:spid="_x0000_s1026" type="#_x0000_t202" style="position:absolute;margin-left:-50.25pt;margin-top:466.8pt;width:4in;height:18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" fillcolor="#fbe4d5 [661]" strokecolor="#936" strokeweight="1.5pt">
                    <v:textbox>
                      <w:txbxContent>
                        <w:p w14:paraId="77158CBE" w14:textId="77777777" w:rsidR="004D1982" w:rsidRPr="008C3250" w:rsidRDefault="004D1982" w:rsidP="004D1982">
                          <w:pPr>
                            <w:jc w:val="center"/>
                            <w:rPr>
                              <w:b/>
                              <w:i/>
                              <w:iCs/>
                              <w:color w:val="993366"/>
                              <w:sz w:val="22"/>
                              <w:szCs w:val="18"/>
                              <w:u w:val="single"/>
                            </w:rPr>
                          </w:pPr>
                          <w:r w:rsidRPr="008C3250">
                            <w:rPr>
                              <w:b/>
                              <w:i/>
                              <w:iCs/>
                              <w:color w:val="993366"/>
                              <w:sz w:val="22"/>
                              <w:szCs w:val="18"/>
                              <w:u w:val="single"/>
                            </w:rPr>
                            <w:t>DISCLAIMER</w:t>
                          </w:r>
                        </w:p>
                        <w:p w14:paraId="10C54173" w14:textId="77777777" w:rsidR="004D1982" w:rsidRPr="008C3250" w:rsidRDefault="004D1982" w:rsidP="004D1982">
                          <w:pPr>
                            <w:spacing w:after="100"/>
                            <w:ind w:left="142" w:right="45"/>
                            <w:rPr>
                              <w:b/>
                              <w:iCs/>
                              <w:color w:val="993366"/>
                              <w:sz w:val="22"/>
                              <w:szCs w:val="18"/>
                            </w:rPr>
                          </w:pPr>
                          <w:r w:rsidRPr="008C3250">
                            <w:rPr>
                              <w:iCs/>
                              <w:color w:val="993366"/>
                              <w:sz w:val="22"/>
                              <w:szCs w:val="18"/>
                            </w:rPr>
                            <w:t xml:space="preserve">This </w:t>
                          </w:r>
                          <w:r w:rsidRPr="008C3250">
                            <w:rPr>
                              <w:b/>
                              <w:iCs/>
                              <w:color w:val="993366"/>
                              <w:sz w:val="22"/>
                              <w:szCs w:val="18"/>
                              <w:u w:val="single"/>
                            </w:rPr>
                            <w:t>non-binding document</w:t>
                          </w:r>
                          <w:r w:rsidRPr="008C3250">
                            <w:rPr>
                              <w:b/>
                              <w:iCs/>
                              <w:color w:val="993366"/>
                              <w:sz w:val="22"/>
                              <w:szCs w:val="18"/>
                            </w:rPr>
                            <w:t xml:space="preserve"> </w:t>
                          </w:r>
                          <w:r w:rsidRPr="008C3250">
                            <w:rPr>
                              <w:iCs/>
                              <w:color w:val="993366"/>
                              <w:sz w:val="22"/>
                              <w:szCs w:val="18"/>
                            </w:rPr>
                            <w:t xml:space="preserve">has been developed by the TESIM project. It does not necessarily reflect the views of the European Commission on the topic, and is presented to programme and project practitioners </w:t>
                          </w:r>
                          <w:r w:rsidRPr="008C3250">
                            <w:rPr>
                              <w:b/>
                              <w:iCs/>
                              <w:color w:val="993366"/>
                              <w:sz w:val="22"/>
                              <w:szCs w:val="18"/>
                              <w:u w:val="single"/>
                            </w:rPr>
                            <w:t>for</w:t>
                          </w:r>
                          <w:r w:rsidRPr="008C3250">
                            <w:rPr>
                              <w:iCs/>
                              <w:color w:val="993366"/>
                              <w:sz w:val="22"/>
                              <w:szCs w:val="18"/>
                              <w:u w:val="single"/>
                            </w:rPr>
                            <w:t xml:space="preserve"> </w:t>
                          </w:r>
                          <w:r w:rsidRPr="008C3250">
                            <w:rPr>
                              <w:b/>
                              <w:iCs/>
                              <w:color w:val="993366"/>
                              <w:sz w:val="22"/>
                              <w:szCs w:val="18"/>
                              <w:u w:val="single"/>
                            </w:rPr>
                            <w:t>illustrative purposes only</w:t>
                          </w:r>
                          <w:r w:rsidRPr="008C3250">
                            <w:rPr>
                              <w:b/>
                              <w:iCs/>
                              <w:color w:val="993366"/>
                              <w:sz w:val="22"/>
                              <w:szCs w:val="18"/>
                            </w:rPr>
                            <w:t>.</w:t>
                          </w:r>
                        </w:p>
                        <w:p w14:paraId="7A6C85F5" w14:textId="77777777" w:rsidR="004D1982" w:rsidRPr="008C3250" w:rsidRDefault="004D1982" w:rsidP="004D1982">
                          <w:pPr>
                            <w:ind w:left="142" w:right="43"/>
                            <w:rPr>
                              <w:iCs/>
                              <w:color w:val="993366"/>
                              <w:sz w:val="22"/>
                              <w:szCs w:val="18"/>
                            </w:rPr>
                          </w:pPr>
                          <w:r w:rsidRPr="008C3250">
                            <w:rPr>
                              <w:iCs/>
                              <w:color w:val="993366"/>
                              <w:sz w:val="22"/>
                              <w:szCs w:val="18"/>
                            </w:rPr>
                            <w:t xml:space="preserve">In case the document is endorsed by an ENI CBC programme and renders it compulsory for use by project beneficiaries, </w:t>
                          </w:r>
                          <w:r w:rsidRPr="008C3250">
                            <w:rPr>
                              <w:b/>
                              <w:iCs/>
                              <w:color w:val="993366"/>
                              <w:sz w:val="22"/>
                              <w:szCs w:val="18"/>
                              <w:u w:val="single"/>
                            </w:rPr>
                            <w:t>neither TESIM experts nor the TESIM consortium members shall be held liable for its contents</w:t>
                          </w:r>
                          <w:r w:rsidRPr="008C3250">
                            <w:rPr>
                              <w:iCs/>
                              <w:color w:val="993366"/>
                              <w:sz w:val="22"/>
                              <w:szCs w:val="18"/>
                            </w:rPr>
                            <w:t xml:space="preserve">, in particular as far as audit findings on the eligibility of expenditure are concerned. </w:t>
                          </w:r>
                        </w:p>
                      </w:txbxContent>
                    </v:textbox>
                    <w10:wrap type="through" anchorx="margin"/>
                  </v:shape>
                </w:pict>
              </mc:Fallback>
            </mc:AlternateContent>
          </w:r>
          <w:r w:rsidR="004D1982">
            <w:rPr>
              <w:noProof/>
            </w:rPr>
            <w:drawing>
              <wp:anchor distT="0" distB="0" distL="114300" distR="114300" simplePos="0" relativeHeight="251662336" behindDoc="0" locked="0" layoutInCell="1" allowOverlap="1" wp14:anchorId="3150D284" wp14:editId="13A101D8">
                <wp:simplePos x="0" y="0"/>
                <wp:positionH relativeFrom="page">
                  <wp:posOffset>4029075</wp:posOffset>
                </wp:positionH>
                <wp:positionV relativeFrom="paragraph">
                  <wp:posOffset>5419725</wp:posOffset>
                </wp:positionV>
                <wp:extent cx="3527425" cy="3238500"/>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7425" cy="3238500"/>
                        </a:xfrm>
                        <a:prstGeom prst="rect">
                          <a:avLst/>
                        </a:prstGeom>
                        <a:noFill/>
                      </pic:spPr>
                    </pic:pic>
                  </a:graphicData>
                </a:graphic>
              </wp:anchor>
            </w:drawing>
          </w:r>
          <w:r w:rsidR="00E93591">
            <w:rPr>
              <w:noProof/>
              <w:lang w:val="es-ES" w:eastAsia="es-ES"/>
            </w:rPr>
            <mc:AlternateContent>
              <mc:Choice Requires="wps">
                <w:drawing>
                  <wp:anchor distT="0" distB="0" distL="114300" distR="114300" simplePos="0" relativeHeight="251659264" behindDoc="0" locked="0" layoutInCell="1" allowOverlap="1" wp14:anchorId="6DF06293" wp14:editId="37D8B1B5">
                    <wp:simplePos x="0" y="0"/>
                    <wp:positionH relativeFrom="margin">
                      <wp:posOffset>342900</wp:posOffset>
                    </wp:positionH>
                    <wp:positionV relativeFrom="margin">
                      <wp:posOffset>2286000</wp:posOffset>
                    </wp:positionV>
                    <wp:extent cx="5372100" cy="3200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200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42BD9" w14:textId="2133E646" w:rsidR="00A52611" w:rsidRDefault="00A52611" w:rsidP="00C66DB7">
                                <w:pPr>
                                  <w:pStyle w:val="Ttol"/>
                                  <w:spacing w:after="200"/>
                                </w:pPr>
                                <w:r>
                                  <w:t>E</w:t>
                                </w:r>
                                <w:r w:rsidR="00EE7377">
                                  <w:t xml:space="preserve">xpenditure verification </w:t>
                                </w:r>
                                <w:r w:rsidR="00FF141E">
                                  <w:t>pack</w:t>
                                </w:r>
                                <w:r>
                                  <w:t xml:space="preserve">: </w:t>
                                </w:r>
                                <w:r w:rsidR="00B97B46">
                                  <w:t>expenditure and revenue verification procedure</w:t>
                                </w:r>
                                <w:r w:rsidR="00D978A2">
                                  <w:t xml:space="preserve"> </w:t>
                                </w:r>
                              </w:p>
                              <w:p w14:paraId="7390A2D8" w14:textId="77777777" w:rsidR="00C66DB7" w:rsidRPr="00C66DB7" w:rsidRDefault="00C66DB7" w:rsidP="00C66DB7">
                                <w:pPr>
                                  <w:pStyle w:val="Ttol"/>
                                  <w:spacing w:before="200"/>
                                  <w:rPr>
                                    <w:sz w:val="20"/>
                                  </w:rPr>
                                </w:pPr>
                              </w:p>
                              <w:p w14:paraId="003B1460" w14:textId="10DAA3BA" w:rsidR="004D1982" w:rsidRPr="00FF6B9A" w:rsidRDefault="00A52611" w:rsidP="004D1982">
                                <w:pPr>
                                  <w:pStyle w:val="Ttol"/>
                                  <w:rPr>
                                    <w:rFonts w:eastAsiaTheme="minorEastAsia" w:cstheme="minorBidi"/>
                                    <w:bCs/>
                                    <w:color w:val="993366"/>
                                    <w:spacing w:val="15"/>
                                    <w:kern w:val="0"/>
                                    <w:sz w:val="28"/>
                                    <w:szCs w:val="28"/>
                                  </w:rPr>
                                </w:pPr>
                                <w:r w:rsidRPr="004D1982">
                                  <w:rPr>
                                    <w:rFonts w:eastAsiaTheme="minorEastAsia" w:cstheme="minorBidi"/>
                                    <w:bCs/>
                                    <w:color w:val="993366"/>
                                    <w:spacing w:val="15"/>
                                    <w:kern w:val="0"/>
                                    <w:sz w:val="28"/>
                                    <w:szCs w:val="28"/>
                                  </w:rPr>
                                  <w:t xml:space="preserve">Annex </w:t>
                                </w:r>
                                <w:r w:rsidR="00E95069" w:rsidRPr="004D1982">
                                  <w:rPr>
                                    <w:rFonts w:eastAsiaTheme="minorEastAsia" w:cstheme="minorBidi"/>
                                    <w:bCs/>
                                    <w:color w:val="993366"/>
                                    <w:spacing w:val="15"/>
                                    <w:kern w:val="0"/>
                                    <w:sz w:val="28"/>
                                    <w:szCs w:val="28"/>
                                  </w:rPr>
                                  <w:t>1</w:t>
                                </w:r>
                                <w:r w:rsidRPr="004D1982">
                                  <w:rPr>
                                    <w:rFonts w:eastAsiaTheme="minorEastAsia" w:cstheme="minorBidi"/>
                                    <w:bCs/>
                                    <w:color w:val="993366"/>
                                    <w:spacing w:val="15"/>
                                    <w:kern w:val="0"/>
                                    <w:sz w:val="28"/>
                                    <w:szCs w:val="28"/>
                                  </w:rPr>
                                  <w:t xml:space="preserve"> to the</w:t>
                                </w:r>
                                <w:r w:rsidR="00E7200B">
                                  <w:rPr>
                                    <w:rFonts w:eastAsiaTheme="minorEastAsia" w:cstheme="minorBidi"/>
                                    <w:bCs/>
                                    <w:color w:val="993366"/>
                                    <w:spacing w:val="15"/>
                                    <w:kern w:val="0"/>
                                    <w:sz w:val="28"/>
                                    <w:szCs w:val="28"/>
                                  </w:rPr>
                                  <w:t xml:space="preserve"> adapt</w:t>
                                </w:r>
                                <w:r w:rsidR="00EE7377">
                                  <w:rPr>
                                    <w:rFonts w:eastAsiaTheme="minorEastAsia" w:cstheme="minorBidi"/>
                                    <w:bCs/>
                                    <w:color w:val="993366"/>
                                    <w:spacing w:val="15"/>
                                    <w:kern w:val="0"/>
                                    <w:sz w:val="28"/>
                                    <w:szCs w:val="28"/>
                                  </w:rPr>
                                  <w:t>ation for projects with subgrants of the “F</w:t>
                                </w:r>
                                <w:r w:rsidRPr="004D1982">
                                  <w:rPr>
                                    <w:rFonts w:eastAsiaTheme="minorEastAsia" w:cstheme="minorBidi"/>
                                    <w:bCs/>
                                    <w:color w:val="993366"/>
                                    <w:spacing w:val="15"/>
                                    <w:kern w:val="0"/>
                                    <w:sz w:val="28"/>
                                    <w:szCs w:val="28"/>
                                  </w:rPr>
                                  <w:t xml:space="preserve">act sheet on expenditure </w:t>
                                </w:r>
                                <w:r w:rsidR="00B56628" w:rsidRPr="004D1982">
                                  <w:rPr>
                                    <w:rFonts w:eastAsiaTheme="minorEastAsia" w:cstheme="minorBidi"/>
                                    <w:bCs/>
                                    <w:color w:val="993366"/>
                                    <w:spacing w:val="15"/>
                                    <w:kern w:val="0"/>
                                    <w:sz w:val="28"/>
                                    <w:szCs w:val="28"/>
                                  </w:rPr>
                                  <w:t xml:space="preserve">and revenue </w:t>
                                </w:r>
                                <w:r w:rsidRPr="004D1982">
                                  <w:rPr>
                                    <w:rFonts w:eastAsiaTheme="minorEastAsia" w:cstheme="minorBidi"/>
                                    <w:bCs/>
                                    <w:color w:val="993366"/>
                                    <w:spacing w:val="15"/>
                                    <w:kern w:val="0"/>
                                    <w:sz w:val="28"/>
                                    <w:szCs w:val="28"/>
                                  </w:rPr>
                                  <w:t>verification</w:t>
                                </w:r>
                                <w:r w:rsidR="00EE7377">
                                  <w:rPr>
                                    <w:rFonts w:eastAsiaTheme="minorEastAsia" w:cstheme="minorBidi"/>
                                    <w:bCs/>
                                    <w:color w:val="993366"/>
                                    <w:spacing w:val="15"/>
                                    <w:kern w:val="0"/>
                                    <w:sz w:val="28"/>
                                    <w:szCs w:val="28"/>
                                  </w:rPr>
                                  <w:t xml:space="preserve"> report”</w:t>
                                </w:r>
                                <w:r w:rsidR="004D1982">
                                  <w:rPr>
                                    <w:sz w:val="48"/>
                                  </w:rPr>
                                  <w:t xml:space="preserve"> </w:t>
                                </w:r>
                              </w:p>
                              <w:p w14:paraId="75896822" w14:textId="77777777" w:rsidR="004D1982" w:rsidRDefault="004D1982" w:rsidP="004D1982"/>
                              <w:p w14:paraId="0DF0D7D2" w14:textId="07635A3C" w:rsidR="00FD72BD" w:rsidRPr="004D1982" w:rsidRDefault="00A45E86" w:rsidP="004D1982">
                                <w:pPr>
                                  <w:pStyle w:val="Ttol"/>
                                  <w:spacing w:before="200"/>
                                  <w:rPr>
                                    <w:rFonts w:eastAsiaTheme="minorEastAsia" w:cstheme="minorBidi"/>
                                    <w:bCs/>
                                    <w:color w:val="5A5A5A" w:themeColor="text1" w:themeTint="A5"/>
                                    <w:spacing w:val="15"/>
                                    <w:kern w:val="0"/>
                                    <w:sz w:val="22"/>
                                    <w:szCs w:val="22"/>
                                  </w:rPr>
                                </w:pPr>
                                <w:r>
                                  <w:rPr>
                                    <w:rFonts w:eastAsiaTheme="minorEastAsia" w:cstheme="minorBidi"/>
                                    <w:bCs/>
                                    <w:color w:val="5A5A5A" w:themeColor="text1" w:themeTint="A5"/>
                                    <w:spacing w:val="15"/>
                                    <w:kern w:val="0"/>
                                    <w:sz w:val="22"/>
                                    <w:szCs w:val="22"/>
                                  </w:rPr>
                                  <w:t>July</w:t>
                                </w:r>
                                <w:r w:rsidR="004D1982" w:rsidRPr="004D1982">
                                  <w:rPr>
                                    <w:rFonts w:eastAsiaTheme="minorEastAsia" w:cstheme="minorBidi"/>
                                    <w:bCs/>
                                    <w:color w:val="5A5A5A" w:themeColor="text1" w:themeTint="A5"/>
                                    <w:spacing w:val="15"/>
                                    <w:kern w:val="0"/>
                                    <w:sz w:val="22"/>
                                    <w:szCs w:val="2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6293" id="Text Box 8" o:spid="_x0000_s1027" type="#_x0000_t202" style="position:absolute;margin-left:27pt;margin-top:180pt;width:423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" filled="f" stroked="f">
                    <v:textbox>
                      <w:txbxContent>
                        <w:p w14:paraId="0E242BD9" w14:textId="2133E646" w:rsidR="00A52611" w:rsidRDefault="00A52611" w:rsidP="00C66DB7">
                          <w:pPr>
                            <w:pStyle w:val="Ttol"/>
                            <w:spacing w:after="200"/>
                          </w:pPr>
                          <w:r>
                            <w:t>E</w:t>
                          </w:r>
                          <w:r w:rsidR="00EE7377">
                            <w:t xml:space="preserve">xpenditure verification </w:t>
                          </w:r>
                          <w:r w:rsidR="00FF141E">
                            <w:t>pack</w:t>
                          </w:r>
                          <w:r>
                            <w:t xml:space="preserve">: </w:t>
                          </w:r>
                          <w:r w:rsidR="00B97B46">
                            <w:t>expenditure and revenue verification procedure</w:t>
                          </w:r>
                          <w:r w:rsidR="00D978A2">
                            <w:t xml:space="preserve"> </w:t>
                          </w:r>
                        </w:p>
                        <w:p w14:paraId="7390A2D8" w14:textId="77777777" w:rsidR="00C66DB7" w:rsidRPr="00C66DB7" w:rsidRDefault="00C66DB7" w:rsidP="00C66DB7">
                          <w:pPr>
                            <w:pStyle w:val="Ttol"/>
                            <w:spacing w:before="200"/>
                            <w:rPr>
                              <w:sz w:val="20"/>
                            </w:rPr>
                          </w:pPr>
                        </w:p>
                        <w:p w14:paraId="003B1460" w14:textId="10DAA3BA" w:rsidR="004D1982" w:rsidRPr="00FF6B9A" w:rsidRDefault="00A52611" w:rsidP="004D1982">
                          <w:pPr>
                            <w:pStyle w:val="Ttol"/>
                            <w:rPr>
                              <w:rFonts w:eastAsiaTheme="minorEastAsia" w:cstheme="minorBidi"/>
                              <w:bCs/>
                              <w:color w:val="993366"/>
                              <w:spacing w:val="15"/>
                              <w:kern w:val="0"/>
                              <w:sz w:val="28"/>
                              <w:szCs w:val="28"/>
                            </w:rPr>
                          </w:pPr>
                          <w:r w:rsidRPr="004D1982">
                            <w:rPr>
                              <w:rFonts w:eastAsiaTheme="minorEastAsia" w:cstheme="minorBidi"/>
                              <w:bCs/>
                              <w:color w:val="993366"/>
                              <w:spacing w:val="15"/>
                              <w:kern w:val="0"/>
                              <w:sz w:val="28"/>
                              <w:szCs w:val="28"/>
                            </w:rPr>
                            <w:t xml:space="preserve">Annex </w:t>
                          </w:r>
                          <w:r w:rsidR="00E95069" w:rsidRPr="004D1982">
                            <w:rPr>
                              <w:rFonts w:eastAsiaTheme="minorEastAsia" w:cstheme="minorBidi"/>
                              <w:bCs/>
                              <w:color w:val="993366"/>
                              <w:spacing w:val="15"/>
                              <w:kern w:val="0"/>
                              <w:sz w:val="28"/>
                              <w:szCs w:val="28"/>
                            </w:rPr>
                            <w:t>1</w:t>
                          </w:r>
                          <w:r w:rsidRPr="004D1982">
                            <w:rPr>
                              <w:rFonts w:eastAsiaTheme="minorEastAsia" w:cstheme="minorBidi"/>
                              <w:bCs/>
                              <w:color w:val="993366"/>
                              <w:spacing w:val="15"/>
                              <w:kern w:val="0"/>
                              <w:sz w:val="28"/>
                              <w:szCs w:val="28"/>
                            </w:rPr>
                            <w:t xml:space="preserve"> to the</w:t>
                          </w:r>
                          <w:r w:rsidR="00E7200B">
                            <w:rPr>
                              <w:rFonts w:eastAsiaTheme="minorEastAsia" w:cstheme="minorBidi"/>
                              <w:bCs/>
                              <w:color w:val="993366"/>
                              <w:spacing w:val="15"/>
                              <w:kern w:val="0"/>
                              <w:sz w:val="28"/>
                              <w:szCs w:val="28"/>
                            </w:rPr>
                            <w:t xml:space="preserve"> adapt</w:t>
                          </w:r>
                          <w:r w:rsidR="00EE7377">
                            <w:rPr>
                              <w:rFonts w:eastAsiaTheme="minorEastAsia" w:cstheme="minorBidi"/>
                              <w:bCs/>
                              <w:color w:val="993366"/>
                              <w:spacing w:val="15"/>
                              <w:kern w:val="0"/>
                              <w:sz w:val="28"/>
                              <w:szCs w:val="28"/>
                            </w:rPr>
                            <w:t>ation for projects with subgrants of the “F</w:t>
                          </w:r>
                          <w:r w:rsidRPr="004D1982">
                            <w:rPr>
                              <w:rFonts w:eastAsiaTheme="minorEastAsia" w:cstheme="minorBidi"/>
                              <w:bCs/>
                              <w:color w:val="993366"/>
                              <w:spacing w:val="15"/>
                              <w:kern w:val="0"/>
                              <w:sz w:val="28"/>
                              <w:szCs w:val="28"/>
                            </w:rPr>
                            <w:t xml:space="preserve">act sheet on expenditure </w:t>
                          </w:r>
                          <w:r w:rsidR="00B56628" w:rsidRPr="004D1982">
                            <w:rPr>
                              <w:rFonts w:eastAsiaTheme="minorEastAsia" w:cstheme="minorBidi"/>
                              <w:bCs/>
                              <w:color w:val="993366"/>
                              <w:spacing w:val="15"/>
                              <w:kern w:val="0"/>
                              <w:sz w:val="28"/>
                              <w:szCs w:val="28"/>
                            </w:rPr>
                            <w:t xml:space="preserve">and revenue </w:t>
                          </w:r>
                          <w:r w:rsidRPr="004D1982">
                            <w:rPr>
                              <w:rFonts w:eastAsiaTheme="minorEastAsia" w:cstheme="minorBidi"/>
                              <w:bCs/>
                              <w:color w:val="993366"/>
                              <w:spacing w:val="15"/>
                              <w:kern w:val="0"/>
                              <w:sz w:val="28"/>
                              <w:szCs w:val="28"/>
                            </w:rPr>
                            <w:t>verification</w:t>
                          </w:r>
                          <w:r w:rsidR="00EE7377">
                            <w:rPr>
                              <w:rFonts w:eastAsiaTheme="minorEastAsia" w:cstheme="minorBidi"/>
                              <w:bCs/>
                              <w:color w:val="993366"/>
                              <w:spacing w:val="15"/>
                              <w:kern w:val="0"/>
                              <w:sz w:val="28"/>
                              <w:szCs w:val="28"/>
                            </w:rPr>
                            <w:t xml:space="preserve"> report”</w:t>
                          </w:r>
                          <w:r w:rsidR="004D1982">
                            <w:rPr>
                              <w:sz w:val="48"/>
                            </w:rPr>
                            <w:t xml:space="preserve"> </w:t>
                          </w:r>
                        </w:p>
                        <w:p w14:paraId="75896822" w14:textId="77777777" w:rsidR="004D1982" w:rsidRDefault="004D1982" w:rsidP="004D1982"/>
                        <w:p w14:paraId="0DF0D7D2" w14:textId="07635A3C" w:rsidR="00FD72BD" w:rsidRPr="004D1982" w:rsidRDefault="00A45E86" w:rsidP="004D1982">
                          <w:pPr>
                            <w:pStyle w:val="Ttol"/>
                            <w:spacing w:before="200"/>
                            <w:rPr>
                              <w:rFonts w:eastAsiaTheme="minorEastAsia" w:cstheme="minorBidi"/>
                              <w:bCs/>
                              <w:color w:val="5A5A5A" w:themeColor="text1" w:themeTint="A5"/>
                              <w:spacing w:val="15"/>
                              <w:kern w:val="0"/>
                              <w:sz w:val="22"/>
                              <w:szCs w:val="22"/>
                            </w:rPr>
                          </w:pPr>
                          <w:r>
                            <w:rPr>
                              <w:rFonts w:eastAsiaTheme="minorEastAsia" w:cstheme="minorBidi"/>
                              <w:bCs/>
                              <w:color w:val="5A5A5A" w:themeColor="text1" w:themeTint="A5"/>
                              <w:spacing w:val="15"/>
                              <w:kern w:val="0"/>
                              <w:sz w:val="22"/>
                              <w:szCs w:val="22"/>
                            </w:rPr>
                            <w:t>July</w:t>
                          </w:r>
                          <w:r w:rsidR="004D1982" w:rsidRPr="004D1982">
                            <w:rPr>
                              <w:rFonts w:eastAsiaTheme="minorEastAsia" w:cstheme="minorBidi"/>
                              <w:bCs/>
                              <w:color w:val="5A5A5A" w:themeColor="text1" w:themeTint="A5"/>
                              <w:spacing w:val="15"/>
                              <w:kern w:val="0"/>
                              <w:sz w:val="22"/>
                              <w:szCs w:val="22"/>
                            </w:rPr>
                            <w:t xml:space="preserve"> 2020</w:t>
                          </w:r>
                        </w:p>
                      </w:txbxContent>
                    </v:textbox>
                    <w10:wrap type="square" anchorx="margin" anchory="margin"/>
                  </v:shape>
                </w:pict>
              </mc:Fallback>
            </mc:AlternateContent>
          </w:r>
          <w:r w:rsidR="00E457BB">
            <w:rPr>
              <w:noProof/>
              <w:lang w:val="es-ES" w:eastAsia="es-ES"/>
            </w:rPr>
            <mc:AlternateContent>
              <mc:Choice Requires="wps">
                <w:drawing>
                  <wp:anchor distT="0" distB="0" distL="114300" distR="114300" simplePos="0" relativeHeight="251660288" behindDoc="0" locked="0" layoutInCell="1" allowOverlap="1" wp14:anchorId="7F4FD65B" wp14:editId="3E477D77">
                    <wp:simplePos x="0" y="0"/>
                    <wp:positionH relativeFrom="margin">
                      <wp:posOffset>-976630</wp:posOffset>
                    </wp:positionH>
                    <wp:positionV relativeFrom="margin">
                      <wp:posOffset>8798560</wp:posOffset>
                    </wp:positionV>
                    <wp:extent cx="7772400" cy="909955"/>
                    <wp:effectExtent l="0" t="0" r="0" b="4445"/>
                    <wp:wrapSquare wrapText="bothSides"/>
                    <wp:docPr id="17" name="Text Box 17"/>
                    <wp:cNvGraphicFramePr/>
                    <a:graphic xmlns:a="http://schemas.openxmlformats.org/drawingml/2006/main">
                      <a:graphicData uri="http://schemas.microsoft.com/office/word/2010/wordprocessingShape">
                        <wps:wsp>
                          <wps:cNvSpPr txBox="1"/>
                          <wps:spPr>
                            <a:xfrm>
                              <a:off x="0" y="0"/>
                              <a:ext cx="7772400" cy="909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ulaambquadrcula"/>
                                  <w:tblW w:w="15245" w:type="dxa"/>
                                  <w:tblLook w:val="04A0" w:firstRow="1" w:lastRow="0" w:firstColumn="1" w:lastColumn="0" w:noHBand="0" w:noVBand="1"/>
                                </w:tblPr>
                                <w:tblGrid>
                                  <w:gridCol w:w="4047"/>
                                  <w:gridCol w:w="4047"/>
                                  <w:gridCol w:w="4048"/>
                                  <w:gridCol w:w="3103"/>
                                </w:tblGrid>
                                <w:tr w:rsidR="00BB4D87" w:rsidRPr="0011662B" w14:paraId="51E2F4C1" w14:textId="77777777" w:rsidTr="00B3220C">
                                  <w:trPr>
                                    <w:trHeight w:val="416"/>
                                  </w:trPr>
                                  <w:tc>
                                    <w:tcPr>
                                      <w:tcW w:w="4047" w:type="dxa"/>
                                      <w:tcBorders>
                                        <w:top w:val="nil"/>
                                        <w:left w:val="nil"/>
                                        <w:bottom w:val="nil"/>
                                        <w:right w:val="nil"/>
                                      </w:tcBorders>
                                      <w:shd w:val="clear" w:color="auto" w:fill="5E175F"/>
                                      <w:vAlign w:val="center"/>
                                    </w:tcPr>
                                    <w:p w14:paraId="46070C32" w14:textId="6B813860" w:rsidR="00BB4D87" w:rsidRPr="0011662B" w:rsidRDefault="000F2705"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176BB80D" w14:textId="010CC945" w:rsidR="00BB4D87" w:rsidRPr="0011662B" w:rsidRDefault="00BB4D87"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7B9BB927" w14:textId="575CB8E7" w:rsidR="00BB4D87" w:rsidRPr="0011662B" w:rsidRDefault="000F2705"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1A80950E" w14:textId="6FD93A3A" w:rsidR="00BB4D87" w:rsidRPr="0011662B" w:rsidRDefault="00BB4D87" w:rsidP="00B3220C">
                                      <w:pPr>
                                        <w:pStyle w:val="Peu"/>
                                        <w:ind w:right="360"/>
                                        <w:rPr>
                                          <w:sz w:val="16"/>
                                          <w:szCs w:val="16"/>
                                        </w:rPr>
                                      </w:pPr>
                                    </w:p>
                                  </w:tc>
                                </w:tr>
                                <w:tr w:rsidR="00BB4D87" w14:paraId="3E7DF4AF" w14:textId="77777777" w:rsidTr="00B3220C">
                                  <w:trPr>
                                    <w:trHeight w:val="914"/>
                                  </w:trPr>
                                  <w:tc>
                                    <w:tcPr>
                                      <w:tcW w:w="4047" w:type="dxa"/>
                                      <w:tcBorders>
                                        <w:top w:val="nil"/>
                                        <w:left w:val="nil"/>
                                        <w:bottom w:val="nil"/>
                                        <w:right w:val="nil"/>
                                      </w:tcBorders>
                                      <w:vAlign w:val="center"/>
                                    </w:tcPr>
                                    <w:p w14:paraId="0AD47293" w14:textId="535A643D" w:rsidR="00BB4D87" w:rsidRDefault="000F2705" w:rsidP="00B3220C">
                                      <w:pPr>
                                        <w:pStyle w:val="Peu"/>
                                        <w:ind w:right="360"/>
                                        <w:jc w:val="center"/>
                                      </w:pPr>
                                      <w:r>
                                        <w:rPr>
                                          <w:noProof/>
                                          <w:lang w:val="es-ES" w:eastAsia="es-ES"/>
                                        </w:rPr>
                                        <w:drawing>
                                          <wp:inline distT="0" distB="0" distL="0" distR="0" wp14:anchorId="4DC45213" wp14:editId="7F8D7B8A">
                                            <wp:extent cx="564456" cy="377222"/>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133C1871" w14:textId="62921828" w:rsidR="00BB4D87" w:rsidRDefault="00BB4D87" w:rsidP="00BB4D87">
                                      <w:pPr>
                                        <w:pStyle w:val="Peu"/>
                                        <w:ind w:right="360"/>
                                        <w:jc w:val="center"/>
                                      </w:pPr>
                                    </w:p>
                                  </w:tc>
                                  <w:tc>
                                    <w:tcPr>
                                      <w:tcW w:w="4048" w:type="dxa"/>
                                      <w:tcBorders>
                                        <w:top w:val="nil"/>
                                        <w:left w:val="nil"/>
                                        <w:bottom w:val="nil"/>
                                        <w:right w:val="nil"/>
                                      </w:tcBorders>
                                      <w:vAlign w:val="center"/>
                                    </w:tcPr>
                                    <w:p w14:paraId="4A63B5AB" w14:textId="35FF20EC" w:rsidR="00BB4D87" w:rsidRDefault="000F2705" w:rsidP="000F2705">
                                      <w:pPr>
                                        <w:pStyle w:val="Peu"/>
                                        <w:ind w:right="360"/>
                                        <w:jc w:val="center"/>
                                      </w:pPr>
                                      <w:r>
                                        <w:rPr>
                                          <w:noProof/>
                                          <w:szCs w:val="20"/>
                                          <w:lang w:val="es-ES" w:eastAsia="es-ES"/>
                                        </w:rPr>
                                        <w:drawing>
                                          <wp:inline distT="0" distB="0" distL="0" distR="0" wp14:anchorId="0281B80F" wp14:editId="457EC169">
                                            <wp:extent cx="734558" cy="406274"/>
                                            <wp:effectExtent l="0" t="0" r="254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038272E2" w14:textId="201B1790" w:rsidR="00BB4D87" w:rsidRDefault="00BB4D87" w:rsidP="00BB4D87">
                                      <w:pPr>
                                        <w:pStyle w:val="Peu"/>
                                        <w:ind w:right="360"/>
                                        <w:jc w:val="center"/>
                                      </w:pPr>
                                    </w:p>
                                  </w:tc>
                                </w:tr>
                              </w:tbl>
                              <w:p w14:paraId="76B1CF88" w14:textId="77777777" w:rsidR="00BB4D87" w:rsidRDefault="00BB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FD65B" id="Text Box 17" o:spid="_x0000_s1028" type="#_x0000_t202" style="position:absolute;margin-left:-76.9pt;margin-top:692.8pt;width:612pt;height:7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" filled="f" stroked="f">
                    <v:textbox>
                      <w:txbxContent>
                        <w:tbl>
                          <w:tblPr>
                            <w:tblStyle w:val="Taulaambquadrcula"/>
                            <w:tblW w:w="15245" w:type="dxa"/>
                            <w:tblLook w:val="04A0" w:firstRow="1" w:lastRow="0" w:firstColumn="1" w:lastColumn="0" w:noHBand="0" w:noVBand="1"/>
                          </w:tblPr>
                          <w:tblGrid>
                            <w:gridCol w:w="4047"/>
                            <w:gridCol w:w="4047"/>
                            <w:gridCol w:w="4048"/>
                            <w:gridCol w:w="3103"/>
                          </w:tblGrid>
                          <w:tr w:rsidR="00BB4D87" w:rsidRPr="0011662B" w14:paraId="51E2F4C1" w14:textId="77777777" w:rsidTr="00B3220C">
                            <w:trPr>
                              <w:trHeight w:val="416"/>
                            </w:trPr>
                            <w:tc>
                              <w:tcPr>
                                <w:tcW w:w="4047" w:type="dxa"/>
                                <w:tcBorders>
                                  <w:top w:val="nil"/>
                                  <w:left w:val="nil"/>
                                  <w:bottom w:val="nil"/>
                                  <w:right w:val="nil"/>
                                </w:tcBorders>
                                <w:shd w:val="clear" w:color="auto" w:fill="5E175F"/>
                                <w:vAlign w:val="center"/>
                              </w:tcPr>
                              <w:p w14:paraId="46070C32" w14:textId="6B813860" w:rsidR="00BB4D87" w:rsidRPr="0011662B" w:rsidRDefault="000F2705"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176BB80D" w14:textId="010CC945" w:rsidR="00BB4D87" w:rsidRPr="0011662B" w:rsidRDefault="00BB4D87"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7B9BB927" w14:textId="575CB8E7" w:rsidR="00BB4D87" w:rsidRPr="0011662B" w:rsidRDefault="000F2705"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1A80950E" w14:textId="6FD93A3A" w:rsidR="00BB4D87" w:rsidRPr="0011662B" w:rsidRDefault="00BB4D87" w:rsidP="00B3220C">
                                <w:pPr>
                                  <w:pStyle w:val="Peu"/>
                                  <w:ind w:right="360"/>
                                  <w:rPr>
                                    <w:sz w:val="16"/>
                                    <w:szCs w:val="16"/>
                                  </w:rPr>
                                </w:pPr>
                              </w:p>
                            </w:tc>
                          </w:tr>
                          <w:tr w:rsidR="00BB4D87" w14:paraId="3E7DF4AF" w14:textId="77777777" w:rsidTr="00B3220C">
                            <w:trPr>
                              <w:trHeight w:val="914"/>
                            </w:trPr>
                            <w:tc>
                              <w:tcPr>
                                <w:tcW w:w="4047" w:type="dxa"/>
                                <w:tcBorders>
                                  <w:top w:val="nil"/>
                                  <w:left w:val="nil"/>
                                  <w:bottom w:val="nil"/>
                                  <w:right w:val="nil"/>
                                </w:tcBorders>
                                <w:vAlign w:val="center"/>
                              </w:tcPr>
                              <w:p w14:paraId="0AD47293" w14:textId="535A643D" w:rsidR="00BB4D87" w:rsidRDefault="000F2705" w:rsidP="00B3220C">
                                <w:pPr>
                                  <w:pStyle w:val="Peu"/>
                                  <w:ind w:right="360"/>
                                  <w:jc w:val="center"/>
                                </w:pPr>
                                <w:r>
                                  <w:rPr>
                                    <w:noProof/>
                                    <w:lang w:val="es-ES" w:eastAsia="es-ES"/>
                                  </w:rPr>
                                  <w:drawing>
                                    <wp:inline distT="0" distB="0" distL="0" distR="0" wp14:anchorId="4DC45213" wp14:editId="7F8D7B8A">
                                      <wp:extent cx="564456" cy="377222"/>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133C1871" w14:textId="62921828" w:rsidR="00BB4D87" w:rsidRDefault="00BB4D87" w:rsidP="00BB4D87">
                                <w:pPr>
                                  <w:pStyle w:val="Peu"/>
                                  <w:ind w:right="360"/>
                                  <w:jc w:val="center"/>
                                </w:pPr>
                              </w:p>
                            </w:tc>
                            <w:tc>
                              <w:tcPr>
                                <w:tcW w:w="4048" w:type="dxa"/>
                                <w:tcBorders>
                                  <w:top w:val="nil"/>
                                  <w:left w:val="nil"/>
                                  <w:bottom w:val="nil"/>
                                  <w:right w:val="nil"/>
                                </w:tcBorders>
                                <w:vAlign w:val="center"/>
                              </w:tcPr>
                              <w:p w14:paraId="4A63B5AB" w14:textId="35FF20EC" w:rsidR="00BB4D87" w:rsidRDefault="000F2705" w:rsidP="000F2705">
                                <w:pPr>
                                  <w:pStyle w:val="Peu"/>
                                  <w:ind w:right="360"/>
                                  <w:jc w:val="center"/>
                                </w:pPr>
                                <w:r>
                                  <w:rPr>
                                    <w:noProof/>
                                    <w:szCs w:val="20"/>
                                    <w:lang w:val="es-ES" w:eastAsia="es-ES"/>
                                  </w:rPr>
                                  <w:drawing>
                                    <wp:inline distT="0" distB="0" distL="0" distR="0" wp14:anchorId="0281B80F" wp14:editId="457EC169">
                                      <wp:extent cx="734558" cy="406274"/>
                                      <wp:effectExtent l="0" t="0" r="254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038272E2" w14:textId="201B1790" w:rsidR="00BB4D87" w:rsidRDefault="00BB4D87" w:rsidP="00BB4D87">
                                <w:pPr>
                                  <w:pStyle w:val="Peu"/>
                                  <w:ind w:right="360"/>
                                  <w:jc w:val="center"/>
                                </w:pPr>
                              </w:p>
                            </w:tc>
                          </w:tr>
                        </w:tbl>
                        <w:p w14:paraId="76B1CF88" w14:textId="77777777" w:rsidR="00BB4D87" w:rsidRDefault="00BB4D87"/>
                      </w:txbxContent>
                    </v:textbox>
                    <w10:wrap type="square" anchorx="margin" anchory="margin"/>
                  </v:shape>
                </w:pict>
              </mc:Fallback>
            </mc:AlternateContent>
          </w:r>
          <w:r w:rsidR="00FD72BD">
            <w:br w:type="page"/>
          </w:r>
        </w:p>
      </w:sdtContent>
    </w:sdt>
    <w:p w14:paraId="6387ACC4" w14:textId="77777777" w:rsidR="0075183E" w:rsidRDefault="0075183E" w:rsidP="0075183E">
      <w:pPr>
        <w:pStyle w:val="Ttol1"/>
        <w:rPr>
          <w:rFonts w:eastAsiaTheme="minorHAnsi" w:cstheme="minorBidi"/>
          <w:color w:val="auto"/>
          <w:sz w:val="24"/>
          <w:szCs w:val="24"/>
        </w:rPr>
      </w:pPr>
    </w:p>
    <w:p w14:paraId="03009B8E" w14:textId="68C9980A" w:rsidR="00FF141E" w:rsidRDefault="00905790" w:rsidP="00FF141E">
      <w:pPr>
        <w:pStyle w:val="Ttol1"/>
      </w:pPr>
      <w:r>
        <w:t xml:space="preserve">Template of expenditure and revenue verification </w:t>
      </w:r>
      <w:r w:rsidR="00B97B46">
        <w:t>procedure</w:t>
      </w:r>
      <w:r w:rsidR="00FA1A66">
        <w:t xml:space="preserve"> </w:t>
      </w:r>
      <w:r w:rsidR="004D1982">
        <w:t>for projects with subgrants</w:t>
      </w:r>
    </w:p>
    <w:p w14:paraId="367E580C" w14:textId="177E78AF" w:rsidR="00DE5398" w:rsidRPr="00CC1EBC" w:rsidRDefault="00DE5398" w:rsidP="004D1982">
      <w:pPr>
        <w:pStyle w:val="Ttol3"/>
        <w:numPr>
          <w:ilvl w:val="0"/>
          <w:numId w:val="8"/>
        </w:numPr>
        <w:ind w:left="426" w:hanging="426"/>
        <w:jc w:val="both"/>
        <w:rPr>
          <w:b/>
          <w:color w:val="auto"/>
          <w:sz w:val="24"/>
          <w:szCs w:val="20"/>
          <w:lang w:val="en-GB"/>
        </w:rPr>
      </w:pPr>
      <w:bookmarkStart w:id="0" w:name="_Toc445883444"/>
      <w:r w:rsidRPr="00CC1EBC">
        <w:rPr>
          <w:b/>
          <w:color w:val="auto"/>
          <w:sz w:val="24"/>
          <w:szCs w:val="20"/>
          <w:lang w:val="en-GB"/>
        </w:rPr>
        <w:t xml:space="preserve">Introduction </w:t>
      </w:r>
    </w:p>
    <w:p w14:paraId="52A04430" w14:textId="07466C7A" w:rsidR="00B97B46" w:rsidRPr="004D1982" w:rsidRDefault="00B97B46" w:rsidP="00B97B46">
      <w:pPr>
        <w:pStyle w:val="Ttol3"/>
        <w:jc w:val="both"/>
        <w:rPr>
          <w:b/>
          <w:color w:val="auto"/>
          <w:szCs w:val="22"/>
          <w:lang w:val="en-GB"/>
        </w:rPr>
      </w:pPr>
      <w:r w:rsidRPr="004D1982">
        <w:rPr>
          <w:color w:val="auto"/>
          <w:szCs w:val="22"/>
          <w:lang w:val="en-GB"/>
        </w:rPr>
        <w:t>Regulatory framework for the ENI CBC programmes sets the requirements for the verification procedures of declared expenditure</w:t>
      </w:r>
      <w:r w:rsidR="006C7824" w:rsidRPr="004D1982">
        <w:rPr>
          <w:color w:val="auto"/>
          <w:szCs w:val="22"/>
          <w:lang w:val="en-GB"/>
        </w:rPr>
        <w:t xml:space="preserve"> and revenue</w:t>
      </w:r>
      <w:r w:rsidRPr="004D1982">
        <w:rPr>
          <w:color w:val="auto"/>
          <w:szCs w:val="22"/>
          <w:lang w:val="en-GB"/>
        </w:rPr>
        <w:t xml:space="preserve">. In particular, ENI CBC Implementing Rules </w:t>
      </w:r>
      <w:r w:rsidR="006C7824" w:rsidRPr="004D1982">
        <w:rPr>
          <w:color w:val="auto"/>
          <w:szCs w:val="22"/>
          <w:lang w:val="en-GB"/>
        </w:rPr>
        <w:t xml:space="preserve">(EC Regulation 897/2014) </w:t>
      </w:r>
      <w:r w:rsidR="004D1982">
        <w:rPr>
          <w:color w:val="auto"/>
          <w:szCs w:val="22"/>
          <w:lang w:val="en-GB"/>
        </w:rPr>
        <w:t>stipulates</w:t>
      </w:r>
      <w:r w:rsidRPr="004D1982">
        <w:rPr>
          <w:color w:val="auto"/>
          <w:szCs w:val="22"/>
          <w:lang w:val="en-GB"/>
        </w:rPr>
        <w:t xml:space="preserve"> that expenditure shall be examined by an auditor or by a competent public officer being independent from the beneficiary. </w:t>
      </w:r>
    </w:p>
    <w:p w14:paraId="593E9623" w14:textId="26B1DA40" w:rsidR="00B97B46" w:rsidRPr="004D1982" w:rsidRDefault="00B97B46" w:rsidP="004D1982">
      <w:pPr>
        <w:pStyle w:val="Ttol3"/>
        <w:spacing w:after="100"/>
        <w:jc w:val="both"/>
        <w:rPr>
          <w:b/>
          <w:color w:val="auto"/>
          <w:szCs w:val="22"/>
          <w:lang w:val="en-GB"/>
        </w:rPr>
      </w:pPr>
      <w:r w:rsidRPr="004D1982">
        <w:rPr>
          <w:color w:val="auto"/>
          <w:szCs w:val="22"/>
          <w:lang w:val="en-GB"/>
        </w:rPr>
        <w:t xml:space="preserve">As a result of the verification, it should be possible to conclude that the costs </w:t>
      </w:r>
      <w:r w:rsidR="004D1982">
        <w:rPr>
          <w:color w:val="auto"/>
          <w:szCs w:val="22"/>
          <w:lang w:val="en-GB"/>
        </w:rPr>
        <w:t xml:space="preserve">and the revenue </w:t>
      </w:r>
      <w:r w:rsidRPr="004D1982">
        <w:rPr>
          <w:color w:val="auto"/>
          <w:szCs w:val="22"/>
          <w:lang w:val="en-GB"/>
        </w:rPr>
        <w:t xml:space="preserve">declared by the beneficiary and the </w:t>
      </w:r>
      <w:r w:rsidR="004D1982">
        <w:rPr>
          <w:color w:val="auto"/>
          <w:szCs w:val="22"/>
          <w:lang w:val="en-GB"/>
        </w:rPr>
        <w:t>subgrantees are</w:t>
      </w:r>
      <w:r w:rsidRPr="004D1982">
        <w:rPr>
          <w:color w:val="auto"/>
          <w:szCs w:val="22"/>
          <w:lang w:val="en-GB"/>
        </w:rPr>
        <w:t>:</w:t>
      </w:r>
    </w:p>
    <w:p w14:paraId="511298A7" w14:textId="77777777" w:rsidR="00B97B46" w:rsidRPr="004D1982" w:rsidRDefault="00B97B46" w:rsidP="004D1982">
      <w:pPr>
        <w:pStyle w:val="Ttol3"/>
        <w:numPr>
          <w:ilvl w:val="0"/>
          <w:numId w:val="2"/>
        </w:numPr>
        <w:spacing w:before="0" w:line="259" w:lineRule="auto"/>
        <w:ind w:left="567" w:hanging="283"/>
        <w:jc w:val="both"/>
        <w:rPr>
          <w:b/>
          <w:color w:val="auto"/>
          <w:szCs w:val="22"/>
          <w:lang w:val="en-GB"/>
        </w:rPr>
      </w:pPr>
      <w:r w:rsidRPr="004D1982">
        <w:rPr>
          <w:b/>
          <w:bCs w:val="0"/>
          <w:color w:val="auto"/>
          <w:szCs w:val="22"/>
          <w:lang w:val="en-GB"/>
        </w:rPr>
        <w:t>real</w:t>
      </w:r>
      <w:r w:rsidRPr="004D1982">
        <w:rPr>
          <w:color w:val="auto"/>
          <w:szCs w:val="22"/>
          <w:lang w:val="en-GB"/>
        </w:rPr>
        <w:t xml:space="preserve"> (expenditure was really incurred and revenues are identified and quantified), </w:t>
      </w:r>
    </w:p>
    <w:p w14:paraId="517713A3" w14:textId="77777777" w:rsidR="00B97B46" w:rsidRPr="004D1982" w:rsidRDefault="00B97B46" w:rsidP="004D1982">
      <w:pPr>
        <w:pStyle w:val="Ttol3"/>
        <w:numPr>
          <w:ilvl w:val="0"/>
          <w:numId w:val="2"/>
        </w:numPr>
        <w:spacing w:before="0" w:line="259" w:lineRule="auto"/>
        <w:ind w:left="567" w:hanging="283"/>
        <w:jc w:val="both"/>
        <w:rPr>
          <w:b/>
          <w:color w:val="auto"/>
          <w:szCs w:val="22"/>
          <w:lang w:val="en-GB"/>
        </w:rPr>
      </w:pPr>
      <w:r w:rsidRPr="004D1982">
        <w:rPr>
          <w:b/>
          <w:bCs w:val="0"/>
          <w:color w:val="auto"/>
          <w:szCs w:val="22"/>
          <w:lang w:val="en-GB"/>
        </w:rPr>
        <w:t>accurately recorded</w:t>
      </w:r>
      <w:r w:rsidRPr="004D1982">
        <w:rPr>
          <w:color w:val="auto"/>
          <w:szCs w:val="22"/>
          <w:lang w:val="en-GB"/>
        </w:rPr>
        <w:t xml:space="preserve"> (amounts are stated and recorded according to the supporting documents), and </w:t>
      </w:r>
    </w:p>
    <w:p w14:paraId="60392D4E" w14:textId="7B922D20" w:rsidR="00B97B46" w:rsidRPr="004D1982" w:rsidRDefault="00B97B46" w:rsidP="004D1982">
      <w:pPr>
        <w:pStyle w:val="Ttol3"/>
        <w:numPr>
          <w:ilvl w:val="0"/>
          <w:numId w:val="2"/>
        </w:numPr>
        <w:spacing w:before="0" w:line="259" w:lineRule="auto"/>
        <w:ind w:left="567" w:hanging="283"/>
        <w:jc w:val="both"/>
        <w:rPr>
          <w:b/>
          <w:color w:val="auto"/>
          <w:szCs w:val="22"/>
          <w:lang w:val="en-GB"/>
        </w:rPr>
      </w:pPr>
      <w:r w:rsidRPr="004D1982">
        <w:rPr>
          <w:b/>
          <w:bCs w:val="0"/>
          <w:color w:val="auto"/>
          <w:szCs w:val="22"/>
          <w:lang w:val="en-GB"/>
        </w:rPr>
        <w:t>eligible</w:t>
      </w:r>
      <w:r w:rsidRPr="004D1982">
        <w:rPr>
          <w:color w:val="auto"/>
          <w:szCs w:val="22"/>
          <w:lang w:val="en-GB"/>
        </w:rPr>
        <w:t xml:space="preserve"> (in line with eligibility criteria) in accordance with the </w:t>
      </w:r>
      <w:r w:rsidR="00633B53">
        <w:rPr>
          <w:color w:val="auto"/>
          <w:szCs w:val="22"/>
          <w:lang w:val="en-GB"/>
        </w:rPr>
        <w:t>G</w:t>
      </w:r>
      <w:r w:rsidR="004D1982">
        <w:rPr>
          <w:color w:val="auto"/>
          <w:szCs w:val="22"/>
          <w:lang w:val="en-GB"/>
        </w:rPr>
        <w:t xml:space="preserve">rant </w:t>
      </w:r>
      <w:r w:rsidR="00633B53">
        <w:rPr>
          <w:color w:val="auto"/>
          <w:szCs w:val="22"/>
          <w:lang w:val="en-GB"/>
        </w:rPr>
        <w:t>C</w:t>
      </w:r>
      <w:r w:rsidRPr="004D1982">
        <w:rPr>
          <w:color w:val="auto"/>
          <w:szCs w:val="22"/>
          <w:lang w:val="en-GB"/>
        </w:rPr>
        <w:t>ontract</w:t>
      </w:r>
      <w:r w:rsidR="004D1982">
        <w:rPr>
          <w:color w:val="auto"/>
          <w:szCs w:val="22"/>
          <w:lang w:val="en-GB"/>
        </w:rPr>
        <w:t xml:space="preserve"> and the </w:t>
      </w:r>
      <w:r w:rsidR="00633B53">
        <w:rPr>
          <w:color w:val="auto"/>
          <w:szCs w:val="22"/>
          <w:lang w:val="en-GB"/>
        </w:rPr>
        <w:t>S</w:t>
      </w:r>
      <w:r w:rsidR="004D1982">
        <w:rPr>
          <w:color w:val="auto"/>
          <w:szCs w:val="22"/>
          <w:lang w:val="en-GB"/>
        </w:rPr>
        <w:t xml:space="preserve">ubgrant </w:t>
      </w:r>
      <w:r w:rsidR="00633B53">
        <w:rPr>
          <w:color w:val="auto"/>
          <w:szCs w:val="22"/>
          <w:lang w:val="en-GB"/>
        </w:rPr>
        <w:t>C</w:t>
      </w:r>
      <w:r w:rsidR="004D1982">
        <w:rPr>
          <w:color w:val="auto"/>
          <w:szCs w:val="22"/>
          <w:lang w:val="en-GB"/>
        </w:rPr>
        <w:t>ontracts</w:t>
      </w:r>
      <w:r w:rsidRPr="004D1982">
        <w:rPr>
          <w:color w:val="auto"/>
          <w:szCs w:val="22"/>
          <w:lang w:val="en-GB"/>
        </w:rPr>
        <w:t>.</w:t>
      </w:r>
    </w:p>
    <w:p w14:paraId="0C8BE20E" w14:textId="7BE3DF01" w:rsidR="00B97B46" w:rsidRPr="004D1982" w:rsidRDefault="00B97B46" w:rsidP="00B97B46">
      <w:pPr>
        <w:pStyle w:val="Ttol3"/>
        <w:jc w:val="both"/>
        <w:rPr>
          <w:b/>
          <w:color w:val="auto"/>
          <w:szCs w:val="22"/>
          <w:lang w:val="en-GB"/>
        </w:rPr>
      </w:pPr>
      <w:r w:rsidRPr="004D1982">
        <w:rPr>
          <w:color w:val="auto"/>
          <w:szCs w:val="22"/>
          <w:lang w:val="en-GB"/>
        </w:rPr>
        <w:t>Grants awarded shall not have the purpose or effect of producing a profit, thus the expenditure verification procedure should include check of compliance with ‘no-profit principle’. Profit is defined a surplus between costs and receipts at the moment of the closure of the project.</w:t>
      </w:r>
      <w:r w:rsidR="004D1982">
        <w:rPr>
          <w:color w:val="auto"/>
          <w:szCs w:val="22"/>
          <w:lang w:val="en-GB"/>
        </w:rPr>
        <w:t xml:space="preserve"> </w:t>
      </w:r>
    </w:p>
    <w:p w14:paraId="6D6BE8F5" w14:textId="32DCE974" w:rsidR="00B97B46" w:rsidRDefault="00B97B46" w:rsidP="009B5C1B">
      <w:pPr>
        <w:pStyle w:val="Ttol3"/>
        <w:spacing w:after="200"/>
        <w:jc w:val="both"/>
        <w:rPr>
          <w:color w:val="auto"/>
          <w:szCs w:val="22"/>
          <w:lang w:val="en-GB"/>
        </w:rPr>
      </w:pPr>
      <w:r w:rsidRPr="004D1982">
        <w:rPr>
          <w:color w:val="auto"/>
          <w:szCs w:val="22"/>
          <w:lang w:val="en-GB"/>
        </w:rPr>
        <w:t xml:space="preserve">If the beneficiary gets a contribution from a third party (like the State contribution) or generates revenues because of the project (for example, interest generated by pre-financing, charges for the use of the infrastructure developed in the project or fees for the use of services), it does not automatically mean that the no-profit principle is breached. </w:t>
      </w:r>
    </w:p>
    <w:p w14:paraId="7F696BC1" w14:textId="77777777" w:rsidR="009B5C1B" w:rsidRDefault="009B5C1B" w:rsidP="009B5C1B">
      <w:pPr>
        <w:spacing w:after="200"/>
        <w:jc w:val="both"/>
        <w:rPr>
          <w:rFonts w:cs="Arial"/>
          <w:sz w:val="22"/>
          <w:szCs w:val="18"/>
          <w:lang w:val="en-GB"/>
        </w:rPr>
      </w:pPr>
      <w:r w:rsidRPr="009B5C1B">
        <w:rPr>
          <w:rFonts w:cs="Arial"/>
          <w:sz w:val="22"/>
          <w:szCs w:val="18"/>
          <w:lang w:val="en-GB"/>
        </w:rPr>
        <w:t>In accordance with article 192 of the Omnibus Regulation, the no-profit principle does not apply to low-value grants. Low-value grants are the ones below 60.000€, as stipulated in article 2(41) of the Omnibus Regulation. Therefore, it does not apply to subgrants.</w:t>
      </w:r>
    </w:p>
    <w:p w14:paraId="794CD1B3" w14:textId="19FCFC98" w:rsidR="00633B53" w:rsidRDefault="009B5C1B" w:rsidP="00633B53">
      <w:pPr>
        <w:spacing w:after="200"/>
        <w:jc w:val="both"/>
        <w:rPr>
          <w:sz w:val="22"/>
          <w:szCs w:val="22"/>
          <w:lang w:val="en-GB"/>
        </w:rPr>
      </w:pPr>
      <w:r>
        <w:rPr>
          <w:szCs w:val="22"/>
          <w:lang w:val="en-GB"/>
        </w:rPr>
        <w:t>E</w:t>
      </w:r>
      <w:r w:rsidR="00B97B46" w:rsidRPr="004D1982">
        <w:rPr>
          <w:sz w:val="22"/>
          <w:szCs w:val="22"/>
          <w:lang w:val="en-GB"/>
        </w:rPr>
        <w:t xml:space="preserve">ach payment request (except the </w:t>
      </w:r>
      <w:r w:rsidR="006C7824" w:rsidRPr="004D1982">
        <w:rPr>
          <w:sz w:val="22"/>
          <w:szCs w:val="22"/>
          <w:lang w:val="en-GB"/>
        </w:rPr>
        <w:t xml:space="preserve">first </w:t>
      </w:r>
      <w:r w:rsidR="00B97B46" w:rsidRPr="004D1982">
        <w:rPr>
          <w:sz w:val="22"/>
          <w:szCs w:val="22"/>
          <w:lang w:val="en-GB"/>
        </w:rPr>
        <w:t>pre-financing request according to the signed contract) has to be accompanied with expenditure and revenue verification report. This verification shall be performed on the basis of an agreed upon procedure st</w:t>
      </w:r>
      <w:r w:rsidR="00400497" w:rsidRPr="004D1982">
        <w:rPr>
          <w:sz w:val="22"/>
          <w:szCs w:val="22"/>
          <w:lang w:val="en-GB"/>
        </w:rPr>
        <w:t xml:space="preserve">ipulated in the </w:t>
      </w:r>
      <w:r w:rsidR="00633B53">
        <w:rPr>
          <w:sz w:val="22"/>
          <w:szCs w:val="22"/>
          <w:lang w:val="en-GB"/>
        </w:rPr>
        <w:t>G</w:t>
      </w:r>
      <w:r w:rsidR="00400497" w:rsidRPr="004D1982">
        <w:rPr>
          <w:sz w:val="22"/>
          <w:szCs w:val="22"/>
          <w:lang w:val="en-GB"/>
        </w:rPr>
        <w:t xml:space="preserve">rant </w:t>
      </w:r>
      <w:r w:rsidR="00633B53">
        <w:rPr>
          <w:sz w:val="22"/>
          <w:szCs w:val="22"/>
          <w:lang w:val="en-GB"/>
        </w:rPr>
        <w:t>C</w:t>
      </w:r>
      <w:r w:rsidR="00400497" w:rsidRPr="004D1982">
        <w:rPr>
          <w:sz w:val="22"/>
          <w:szCs w:val="22"/>
          <w:lang w:val="en-GB"/>
        </w:rPr>
        <w:t>ontract</w:t>
      </w:r>
      <w:r w:rsidR="00633B53">
        <w:rPr>
          <w:sz w:val="22"/>
          <w:szCs w:val="22"/>
          <w:lang w:val="en-GB"/>
        </w:rPr>
        <w:t xml:space="preserve"> and the Subgrant Contracts</w:t>
      </w:r>
      <w:r w:rsidR="00400497" w:rsidRPr="004D1982">
        <w:rPr>
          <w:sz w:val="22"/>
          <w:szCs w:val="22"/>
          <w:lang w:val="en-GB"/>
        </w:rPr>
        <w:t>.</w:t>
      </w:r>
    </w:p>
    <w:p w14:paraId="79CB22AE" w14:textId="77777777" w:rsidR="00633B53" w:rsidRDefault="00400497" w:rsidP="00633B53">
      <w:pPr>
        <w:spacing w:after="200"/>
        <w:jc w:val="both"/>
        <w:rPr>
          <w:sz w:val="22"/>
          <w:szCs w:val="22"/>
          <w:lang w:val="en-GB"/>
        </w:rPr>
      </w:pPr>
      <w:r w:rsidRPr="004D1982">
        <w:rPr>
          <w:sz w:val="22"/>
          <w:szCs w:val="22"/>
          <w:lang w:val="en-GB"/>
        </w:rPr>
        <w:t>T</w:t>
      </w:r>
      <w:r w:rsidR="00B97B46" w:rsidRPr="004D1982">
        <w:rPr>
          <w:sz w:val="22"/>
          <w:szCs w:val="22"/>
          <w:lang w:val="en-GB"/>
        </w:rPr>
        <w:t xml:space="preserve">he objective of an agreed-upon procedures engagement is for the auditor to carry out procedures of an audit nature to which the auditor and the entity and any appropriate third parties have agreed and to </w:t>
      </w:r>
      <w:r w:rsidR="00B97B46" w:rsidRPr="004D1982">
        <w:rPr>
          <w:b/>
          <w:sz w:val="22"/>
          <w:szCs w:val="22"/>
          <w:lang w:val="en-GB"/>
        </w:rPr>
        <w:t>report on factual findings</w:t>
      </w:r>
      <w:r w:rsidR="00B97B46" w:rsidRPr="004D1982">
        <w:rPr>
          <w:sz w:val="22"/>
          <w:szCs w:val="22"/>
          <w:lang w:val="en-GB"/>
        </w:rPr>
        <w:t xml:space="preserve">. </w:t>
      </w:r>
      <w:bookmarkStart w:id="1" w:name="_Toc445883445"/>
    </w:p>
    <w:p w14:paraId="7F5E1FDB" w14:textId="2DA44DCC" w:rsidR="00B97B46" w:rsidRDefault="00B97B46" w:rsidP="00633B53">
      <w:pPr>
        <w:spacing w:after="100"/>
        <w:jc w:val="both"/>
        <w:rPr>
          <w:sz w:val="22"/>
          <w:szCs w:val="22"/>
          <w:lang w:val="en-GB"/>
        </w:rPr>
      </w:pPr>
      <w:r w:rsidRPr="004D1982">
        <w:rPr>
          <w:sz w:val="22"/>
          <w:szCs w:val="22"/>
          <w:lang w:val="en-GB"/>
        </w:rPr>
        <w:t xml:space="preserve">The subject of the verification is the financial report produced by a beneficiary where project expenditure and </w:t>
      </w:r>
      <w:r w:rsidR="006C7824" w:rsidRPr="004D1982">
        <w:rPr>
          <w:sz w:val="22"/>
          <w:szCs w:val="22"/>
          <w:lang w:val="en-GB"/>
        </w:rPr>
        <w:t>revenue</w:t>
      </w:r>
      <w:r w:rsidRPr="004D1982">
        <w:rPr>
          <w:sz w:val="22"/>
          <w:szCs w:val="22"/>
          <w:lang w:val="en-GB"/>
        </w:rPr>
        <w:t xml:space="preserve"> </w:t>
      </w:r>
      <w:r w:rsidR="00633B53" w:rsidRPr="00633B53">
        <w:rPr>
          <w:sz w:val="22"/>
          <w:szCs w:val="22"/>
          <w:lang w:val="en-GB"/>
        </w:rPr>
        <w:t>are</w:t>
      </w:r>
      <w:r w:rsidRPr="004D1982">
        <w:rPr>
          <w:sz w:val="22"/>
          <w:szCs w:val="22"/>
          <w:lang w:val="en-GB"/>
        </w:rPr>
        <w:t xml:space="preserve"> declared and reimbursement is sought for the </w:t>
      </w:r>
      <w:r w:rsidRPr="004D1982">
        <w:rPr>
          <w:sz w:val="22"/>
          <w:szCs w:val="22"/>
          <w:lang w:val="en-GB"/>
        </w:rPr>
        <w:lastRenderedPageBreak/>
        <w:t>eligible part of that expenditure, as well as checking the respect of the non-profit principle</w:t>
      </w:r>
      <w:r w:rsidR="00633B53">
        <w:rPr>
          <w:rStyle w:val="Refernciadenotaapeudepgina"/>
          <w:sz w:val="22"/>
          <w:szCs w:val="22"/>
          <w:lang w:val="en-GB"/>
        </w:rPr>
        <w:footnoteReference w:id="1"/>
      </w:r>
      <w:r w:rsidRPr="004D1982">
        <w:rPr>
          <w:sz w:val="22"/>
          <w:szCs w:val="22"/>
          <w:lang w:val="en-GB"/>
        </w:rPr>
        <w:t xml:space="preserve">. </w:t>
      </w:r>
      <w:r w:rsidR="00633B53">
        <w:rPr>
          <w:sz w:val="22"/>
          <w:szCs w:val="22"/>
          <w:lang w:val="en-GB"/>
        </w:rPr>
        <w:t>The expenditure declared includes either:</w:t>
      </w:r>
    </w:p>
    <w:p w14:paraId="13495451" w14:textId="3495A20E" w:rsidR="00633B53" w:rsidRDefault="00633B53" w:rsidP="00633B53">
      <w:pPr>
        <w:pStyle w:val="Pargrafdellista"/>
        <w:numPr>
          <w:ilvl w:val="0"/>
          <w:numId w:val="26"/>
        </w:numPr>
        <w:spacing w:after="200"/>
        <w:jc w:val="both"/>
        <w:rPr>
          <w:rFonts w:cs="Arial"/>
          <w:sz w:val="22"/>
          <w:szCs w:val="18"/>
          <w:lang w:val="en-GB"/>
        </w:rPr>
      </w:pPr>
      <w:r>
        <w:rPr>
          <w:rFonts w:cs="Arial"/>
          <w:sz w:val="22"/>
          <w:szCs w:val="18"/>
          <w:lang w:val="en-GB"/>
        </w:rPr>
        <w:t>the payments to the subgrantees in case of financial regime with simplified costs, or</w:t>
      </w:r>
    </w:p>
    <w:p w14:paraId="6B76CD13" w14:textId="22B7C994" w:rsidR="00633B53" w:rsidRPr="00633B53" w:rsidRDefault="00633B53" w:rsidP="00633B53">
      <w:pPr>
        <w:pStyle w:val="Pargrafdellista"/>
        <w:numPr>
          <w:ilvl w:val="0"/>
          <w:numId w:val="26"/>
        </w:numPr>
        <w:spacing w:after="200"/>
        <w:jc w:val="both"/>
        <w:rPr>
          <w:rFonts w:cs="Arial"/>
          <w:sz w:val="22"/>
          <w:szCs w:val="18"/>
          <w:lang w:val="en-GB"/>
        </w:rPr>
      </w:pPr>
      <w:r>
        <w:rPr>
          <w:rFonts w:cs="Arial"/>
          <w:sz w:val="22"/>
          <w:szCs w:val="18"/>
          <w:lang w:val="en-GB"/>
        </w:rPr>
        <w:t>the eligible expenditure declared by the subgrantees to the beneficiary in case of financial regime with reimbursement of costs.</w:t>
      </w:r>
    </w:p>
    <w:p w14:paraId="301F94FB" w14:textId="77AA5151" w:rsidR="00B97B46" w:rsidRPr="004D1982" w:rsidRDefault="00B97B46" w:rsidP="00B97B46">
      <w:pPr>
        <w:pStyle w:val="Ttol3"/>
        <w:jc w:val="both"/>
        <w:rPr>
          <w:color w:val="auto"/>
          <w:szCs w:val="22"/>
          <w:lang w:val="en-GB"/>
        </w:rPr>
      </w:pPr>
      <w:r w:rsidRPr="004D1982">
        <w:rPr>
          <w:color w:val="auto"/>
          <w:szCs w:val="22"/>
          <w:lang w:val="en-GB"/>
        </w:rPr>
        <w:t xml:space="preserve">The expenditure </w:t>
      </w:r>
      <w:r w:rsidR="006C7824" w:rsidRPr="004D1982">
        <w:rPr>
          <w:color w:val="auto"/>
          <w:szCs w:val="22"/>
          <w:lang w:val="en-GB"/>
        </w:rPr>
        <w:t xml:space="preserve">and revenue </w:t>
      </w:r>
      <w:r w:rsidRPr="004D1982">
        <w:rPr>
          <w:color w:val="auto"/>
          <w:szCs w:val="22"/>
          <w:lang w:val="en-GB"/>
        </w:rPr>
        <w:t xml:space="preserve">verification </w:t>
      </w:r>
      <w:proofErr w:type="gramStart"/>
      <w:r w:rsidRPr="004D1982">
        <w:rPr>
          <w:color w:val="auto"/>
          <w:szCs w:val="22"/>
          <w:lang w:val="en-GB"/>
        </w:rPr>
        <w:t>is</w:t>
      </w:r>
      <w:proofErr w:type="gramEnd"/>
      <w:r w:rsidRPr="004D1982">
        <w:rPr>
          <w:color w:val="auto"/>
          <w:szCs w:val="22"/>
          <w:lang w:val="en-GB"/>
        </w:rPr>
        <w:t xml:space="preserve"> organised in accordance with the verification procedures defined in a checklist and template for list of findings, as well as </w:t>
      </w:r>
      <w:r w:rsidR="006C7824" w:rsidRPr="004D1982">
        <w:rPr>
          <w:color w:val="auto"/>
          <w:szCs w:val="22"/>
          <w:lang w:val="en-GB"/>
        </w:rPr>
        <w:t xml:space="preserve">templates for </w:t>
      </w:r>
      <w:r w:rsidRPr="004D1982">
        <w:rPr>
          <w:color w:val="auto"/>
          <w:szCs w:val="22"/>
          <w:lang w:val="en-GB"/>
        </w:rPr>
        <w:t>the reports: expenditure and revenue verification report (consolidated and/or individual beneficiary, as relevant) and report on suspected and/or established fraud. The report on fraud needs to be sent directly to the Managing Authority (or Joint Technical Secretariat), without any need of informing the concerned beneficiary.</w:t>
      </w:r>
    </w:p>
    <w:p w14:paraId="58F91476" w14:textId="0E00CCB4" w:rsidR="00B97B46" w:rsidRDefault="00217605" w:rsidP="00B97B46">
      <w:pPr>
        <w:pStyle w:val="Ttol3"/>
        <w:jc w:val="both"/>
        <w:rPr>
          <w:b/>
          <w:color w:val="auto"/>
          <w:sz w:val="20"/>
          <w:szCs w:val="20"/>
          <w:lang w:val="en-GB"/>
        </w:rPr>
      </w:pPr>
      <w:r w:rsidRPr="004D1982">
        <w:rPr>
          <w:color w:val="auto"/>
          <w:szCs w:val="22"/>
          <w:lang w:val="en-GB"/>
        </w:rPr>
        <w:t>T</w:t>
      </w:r>
      <w:r w:rsidR="00B97B46" w:rsidRPr="004D1982">
        <w:rPr>
          <w:color w:val="auto"/>
          <w:szCs w:val="22"/>
          <w:lang w:val="en-GB"/>
        </w:rPr>
        <w:t xml:space="preserve">hese </w:t>
      </w:r>
      <w:r w:rsidRPr="004D1982">
        <w:rPr>
          <w:color w:val="auto"/>
          <w:szCs w:val="22"/>
          <w:lang w:val="en-GB"/>
        </w:rPr>
        <w:t xml:space="preserve">provisions and </w:t>
      </w:r>
      <w:r w:rsidR="00B97B46" w:rsidRPr="004D1982">
        <w:rPr>
          <w:color w:val="auto"/>
          <w:szCs w:val="22"/>
          <w:lang w:val="en-GB"/>
        </w:rPr>
        <w:t>documents are included in the annex of the contract between the beneficiary and the Managing Authority.</w:t>
      </w:r>
      <w:bookmarkEnd w:id="1"/>
    </w:p>
    <w:p w14:paraId="077C473C" w14:textId="69E89D06" w:rsidR="00B97B46" w:rsidRPr="00DE5398" w:rsidRDefault="00B97B46" w:rsidP="00B97B46">
      <w:pPr>
        <w:rPr>
          <w:sz w:val="20"/>
          <w:lang w:val="en-GB"/>
        </w:rPr>
      </w:pPr>
    </w:p>
    <w:p w14:paraId="7D82303A" w14:textId="7A48FEA9" w:rsidR="008527DA" w:rsidRPr="00CC1EBC" w:rsidRDefault="008527DA" w:rsidP="00633B53">
      <w:pPr>
        <w:pStyle w:val="Pargrafdellista"/>
        <w:numPr>
          <w:ilvl w:val="0"/>
          <w:numId w:val="8"/>
        </w:numPr>
        <w:ind w:left="426" w:hanging="426"/>
        <w:rPr>
          <w:b/>
          <w:lang w:val="en-GB"/>
        </w:rPr>
      </w:pPr>
      <w:r w:rsidRPr="00CC1EBC">
        <w:rPr>
          <w:b/>
          <w:lang w:val="en-GB"/>
        </w:rPr>
        <w:t>Responsibilities of the Parties to the Engagement</w:t>
      </w:r>
    </w:p>
    <w:p w14:paraId="05113308" w14:textId="77777777" w:rsidR="008527DA" w:rsidRDefault="008527DA" w:rsidP="008527DA">
      <w:pPr>
        <w:rPr>
          <w:sz w:val="20"/>
          <w:lang w:val="en-GB"/>
        </w:rPr>
      </w:pPr>
    </w:p>
    <w:p w14:paraId="0681107E" w14:textId="112EAF02" w:rsidR="008527DA" w:rsidRPr="00633B53" w:rsidRDefault="008527DA" w:rsidP="008527DA">
      <w:pPr>
        <w:jc w:val="both"/>
        <w:rPr>
          <w:sz w:val="22"/>
          <w:szCs w:val="28"/>
          <w:lang w:val="en-GB"/>
        </w:rPr>
      </w:pPr>
      <w:r w:rsidRPr="00633B53">
        <w:rPr>
          <w:sz w:val="22"/>
          <w:szCs w:val="28"/>
          <w:lang w:val="en-GB"/>
        </w:rPr>
        <w:t>The term “Beneficiary(</w:t>
      </w:r>
      <w:proofErr w:type="spellStart"/>
      <w:r w:rsidRPr="00633B53">
        <w:rPr>
          <w:sz w:val="22"/>
          <w:szCs w:val="28"/>
          <w:lang w:val="en-GB"/>
        </w:rPr>
        <w:t>ies</w:t>
      </w:r>
      <w:proofErr w:type="spellEnd"/>
      <w:r w:rsidRPr="00633B53">
        <w:rPr>
          <w:sz w:val="22"/>
          <w:szCs w:val="28"/>
          <w:lang w:val="en-GB"/>
        </w:rPr>
        <w:t>)” refers collectively to all Beneficiaries</w:t>
      </w:r>
      <w:r w:rsidR="00A33329" w:rsidRPr="00633B53">
        <w:rPr>
          <w:sz w:val="22"/>
          <w:szCs w:val="28"/>
          <w:lang w:val="en-GB"/>
        </w:rPr>
        <w:t xml:space="preserve"> of the project</w:t>
      </w:r>
      <w:r w:rsidRPr="00633B53">
        <w:rPr>
          <w:sz w:val="22"/>
          <w:szCs w:val="28"/>
          <w:lang w:val="en-GB"/>
        </w:rPr>
        <w:t>, including the Lead Beneficiary. Where applicable the term 'Beneficiary(</w:t>
      </w:r>
      <w:proofErr w:type="spellStart"/>
      <w:r w:rsidRPr="00633B53">
        <w:rPr>
          <w:sz w:val="22"/>
          <w:szCs w:val="28"/>
          <w:lang w:val="en-GB"/>
        </w:rPr>
        <w:t>ies</w:t>
      </w:r>
      <w:proofErr w:type="spellEnd"/>
      <w:r w:rsidRPr="00633B53">
        <w:rPr>
          <w:sz w:val="22"/>
          <w:szCs w:val="28"/>
          <w:lang w:val="en-GB"/>
        </w:rPr>
        <w:t>) includes its affiliated entity(</w:t>
      </w:r>
      <w:proofErr w:type="spellStart"/>
      <w:r w:rsidRPr="00633B53">
        <w:rPr>
          <w:sz w:val="22"/>
          <w:szCs w:val="28"/>
          <w:lang w:val="en-GB"/>
        </w:rPr>
        <w:t>ies</w:t>
      </w:r>
      <w:proofErr w:type="spellEnd"/>
      <w:r w:rsidRPr="00633B53">
        <w:rPr>
          <w:sz w:val="22"/>
          <w:szCs w:val="28"/>
          <w:lang w:val="en-GB"/>
        </w:rPr>
        <w:t>).</w:t>
      </w:r>
    </w:p>
    <w:p w14:paraId="506C2394" w14:textId="77777777" w:rsidR="008527DA" w:rsidRPr="00633B53" w:rsidRDefault="008527DA" w:rsidP="008527DA">
      <w:pPr>
        <w:jc w:val="both"/>
        <w:rPr>
          <w:sz w:val="22"/>
          <w:szCs w:val="28"/>
          <w:lang w:val="en-GB"/>
        </w:rPr>
      </w:pPr>
    </w:p>
    <w:p w14:paraId="20626926" w14:textId="69C5C886" w:rsidR="008527DA" w:rsidRDefault="008527DA" w:rsidP="008527DA">
      <w:pPr>
        <w:pStyle w:val="Pargrafdellista"/>
        <w:numPr>
          <w:ilvl w:val="0"/>
          <w:numId w:val="10"/>
        </w:numPr>
        <w:ind w:left="426" w:hanging="284"/>
        <w:jc w:val="both"/>
        <w:rPr>
          <w:sz w:val="22"/>
          <w:szCs w:val="28"/>
          <w:lang w:val="en-GB"/>
        </w:rPr>
      </w:pPr>
      <w:r w:rsidRPr="00633B53">
        <w:rPr>
          <w:sz w:val="22"/>
          <w:szCs w:val="28"/>
          <w:lang w:val="en-GB"/>
        </w:rPr>
        <w:t>The Beneficiary (and Lead Beneficiary when relevant) is responsible for providing a Financial Report for the project financed by the Grant Contract, which complies with the terms and conditions of the Grant Contract and for ensuring that this Financial Report reconciles to the Beneficiary’s accounting and bookkeeping system and to the underlying accounts and records. The Beneficiary is responsible for providing sufficient and adequate information, both financial and non-financial, in support of the Financial Report.</w:t>
      </w:r>
    </w:p>
    <w:p w14:paraId="63AAB696" w14:textId="276383BC" w:rsidR="00633B53" w:rsidRPr="00633B53" w:rsidRDefault="00633B53" w:rsidP="008527DA">
      <w:pPr>
        <w:pStyle w:val="Pargrafdellista"/>
        <w:numPr>
          <w:ilvl w:val="0"/>
          <w:numId w:val="10"/>
        </w:numPr>
        <w:ind w:left="426" w:hanging="284"/>
        <w:jc w:val="both"/>
        <w:rPr>
          <w:sz w:val="22"/>
          <w:szCs w:val="28"/>
          <w:lang w:val="en-GB"/>
        </w:rPr>
      </w:pPr>
      <w:r w:rsidRPr="00633B53">
        <w:rPr>
          <w:sz w:val="22"/>
          <w:szCs w:val="28"/>
          <w:lang w:val="en-GB"/>
        </w:rPr>
        <w:t>The Beneficiary (and Lead Beneficiary when relevant)</w:t>
      </w:r>
      <w:r>
        <w:rPr>
          <w:sz w:val="22"/>
          <w:szCs w:val="28"/>
          <w:lang w:val="en-GB"/>
        </w:rPr>
        <w:t xml:space="preserve"> is responsible for integrating into its Financial Report the expenditure incurred and paid by the subgrantees</w:t>
      </w:r>
      <w:r>
        <w:rPr>
          <w:rStyle w:val="Refernciadenotaapeudepgina"/>
          <w:sz w:val="22"/>
          <w:szCs w:val="28"/>
          <w:lang w:val="en-GB"/>
        </w:rPr>
        <w:footnoteReference w:id="2"/>
      </w:r>
      <w:r>
        <w:rPr>
          <w:sz w:val="22"/>
          <w:szCs w:val="28"/>
          <w:lang w:val="en-GB"/>
        </w:rPr>
        <w:t>, in compliance with the terms and conditions of the Subgrant Contracts.</w:t>
      </w:r>
    </w:p>
    <w:p w14:paraId="7A689332" w14:textId="19731169" w:rsidR="008527DA" w:rsidRDefault="008527DA" w:rsidP="008527DA">
      <w:pPr>
        <w:pStyle w:val="Pargrafdellista"/>
        <w:numPr>
          <w:ilvl w:val="0"/>
          <w:numId w:val="10"/>
        </w:numPr>
        <w:ind w:left="426" w:hanging="284"/>
        <w:jc w:val="both"/>
        <w:rPr>
          <w:sz w:val="22"/>
          <w:szCs w:val="28"/>
          <w:lang w:val="en-GB"/>
        </w:rPr>
      </w:pPr>
      <w:r w:rsidRPr="00633B53">
        <w:rPr>
          <w:sz w:val="22"/>
          <w:szCs w:val="28"/>
          <w:lang w:val="en-GB"/>
        </w:rPr>
        <w:t>The Beneficiary (and Lead Beneficiary when relevant) accepts that the ability of the Auditor to perform the procedures required by this engagement effectively depends upon the Beneficiary(</w:t>
      </w:r>
      <w:proofErr w:type="spellStart"/>
      <w:r w:rsidRPr="00633B53">
        <w:rPr>
          <w:sz w:val="22"/>
          <w:szCs w:val="28"/>
          <w:lang w:val="en-GB"/>
        </w:rPr>
        <w:t>ies</w:t>
      </w:r>
      <w:proofErr w:type="spellEnd"/>
      <w:r w:rsidRPr="00633B53">
        <w:rPr>
          <w:sz w:val="22"/>
          <w:szCs w:val="28"/>
          <w:lang w:val="en-GB"/>
        </w:rPr>
        <w:t>), and as the case may be its affiliated entity(</w:t>
      </w:r>
      <w:proofErr w:type="spellStart"/>
      <w:r w:rsidRPr="00633B53">
        <w:rPr>
          <w:sz w:val="22"/>
          <w:szCs w:val="28"/>
          <w:lang w:val="en-GB"/>
        </w:rPr>
        <w:t>ies</w:t>
      </w:r>
      <w:proofErr w:type="spellEnd"/>
      <w:r w:rsidRPr="00633B53">
        <w:rPr>
          <w:sz w:val="22"/>
          <w:szCs w:val="28"/>
          <w:lang w:val="en-GB"/>
        </w:rPr>
        <w:t>), providing full and free access to its (their) staff and its (their) accounting and bookkeeping system and underlying accounts and records.</w:t>
      </w:r>
    </w:p>
    <w:p w14:paraId="6E6FB9D7" w14:textId="65F28EDE" w:rsidR="00633B53" w:rsidRPr="00633B53" w:rsidRDefault="00633B53" w:rsidP="008527DA">
      <w:pPr>
        <w:pStyle w:val="Pargrafdellista"/>
        <w:numPr>
          <w:ilvl w:val="0"/>
          <w:numId w:val="10"/>
        </w:numPr>
        <w:ind w:left="426" w:hanging="284"/>
        <w:jc w:val="both"/>
        <w:rPr>
          <w:sz w:val="22"/>
          <w:szCs w:val="28"/>
          <w:lang w:val="en-GB"/>
        </w:rPr>
      </w:pPr>
      <w:r w:rsidRPr="00633B53">
        <w:rPr>
          <w:sz w:val="22"/>
          <w:szCs w:val="28"/>
          <w:lang w:val="en-GB"/>
        </w:rPr>
        <w:t>The Beneficiary (and Lead Beneficiary when relevant)</w:t>
      </w:r>
      <w:r>
        <w:rPr>
          <w:sz w:val="22"/>
          <w:szCs w:val="28"/>
          <w:lang w:val="en-GB"/>
        </w:rPr>
        <w:t xml:space="preserve"> ensures that the subgrantees </w:t>
      </w:r>
      <w:r w:rsidRPr="00633B53">
        <w:rPr>
          <w:sz w:val="22"/>
          <w:szCs w:val="28"/>
          <w:lang w:val="en-GB"/>
        </w:rPr>
        <w:t xml:space="preserve">accept that the ability of the Auditor to perform the procedures required by this engagement effectively depends upon the </w:t>
      </w:r>
      <w:r>
        <w:rPr>
          <w:sz w:val="22"/>
          <w:szCs w:val="28"/>
          <w:lang w:val="en-GB"/>
        </w:rPr>
        <w:t>subgrantee</w:t>
      </w:r>
      <w:r w:rsidRPr="00633B53">
        <w:rPr>
          <w:sz w:val="22"/>
          <w:szCs w:val="28"/>
          <w:lang w:val="en-GB"/>
        </w:rPr>
        <w:t>, providing full and free access to their staff</w:t>
      </w:r>
      <w:r w:rsidR="00567BD5">
        <w:rPr>
          <w:sz w:val="22"/>
          <w:szCs w:val="28"/>
          <w:lang w:val="en-GB"/>
        </w:rPr>
        <w:t>, the supporting documents of the outputs produced (in case of simplified costs)</w:t>
      </w:r>
      <w:r w:rsidRPr="00633B53">
        <w:rPr>
          <w:sz w:val="22"/>
          <w:szCs w:val="28"/>
          <w:lang w:val="en-GB"/>
        </w:rPr>
        <w:t xml:space="preserve"> and </w:t>
      </w:r>
      <w:r w:rsidR="00567BD5">
        <w:rPr>
          <w:sz w:val="22"/>
          <w:szCs w:val="28"/>
          <w:lang w:val="en-GB"/>
        </w:rPr>
        <w:t>t</w:t>
      </w:r>
      <w:r w:rsidRPr="00633B53">
        <w:rPr>
          <w:sz w:val="22"/>
          <w:szCs w:val="28"/>
          <w:lang w:val="en-GB"/>
        </w:rPr>
        <w:t>heir accounting and bookkeeping system and underlying accounts and records</w:t>
      </w:r>
      <w:r w:rsidR="00567BD5">
        <w:rPr>
          <w:sz w:val="22"/>
          <w:szCs w:val="28"/>
          <w:lang w:val="en-GB"/>
        </w:rPr>
        <w:t xml:space="preserve"> (in case of reimbursement of costs)</w:t>
      </w:r>
      <w:r w:rsidRPr="00633B53">
        <w:rPr>
          <w:sz w:val="22"/>
          <w:szCs w:val="28"/>
          <w:lang w:val="en-GB"/>
        </w:rPr>
        <w:t>.</w:t>
      </w:r>
    </w:p>
    <w:p w14:paraId="1BDCEC03" w14:textId="66170DC3" w:rsidR="00DE5398" w:rsidRPr="00633B53" w:rsidRDefault="008527DA" w:rsidP="008527DA">
      <w:pPr>
        <w:pStyle w:val="Pargrafdellista"/>
        <w:numPr>
          <w:ilvl w:val="0"/>
          <w:numId w:val="10"/>
        </w:numPr>
        <w:ind w:left="426" w:hanging="284"/>
        <w:jc w:val="both"/>
        <w:rPr>
          <w:sz w:val="22"/>
          <w:szCs w:val="28"/>
          <w:lang w:val="en-GB"/>
        </w:rPr>
      </w:pPr>
      <w:r w:rsidRPr="00633B53">
        <w:rPr>
          <w:sz w:val="22"/>
          <w:szCs w:val="28"/>
          <w:lang w:val="en-GB"/>
        </w:rPr>
        <w:t xml:space="preserve">‘The Auditor’ </w:t>
      </w:r>
      <w:r w:rsidR="00A33329" w:rsidRPr="00633B53">
        <w:rPr>
          <w:sz w:val="22"/>
          <w:szCs w:val="28"/>
          <w:lang w:val="en-GB"/>
        </w:rPr>
        <w:t xml:space="preserve">(or public officer, if relevant) </w:t>
      </w:r>
      <w:r w:rsidRPr="00633B53">
        <w:rPr>
          <w:sz w:val="22"/>
          <w:szCs w:val="28"/>
          <w:lang w:val="en-GB"/>
        </w:rPr>
        <w:t>is responsible for performing the agreed-upon procedures as specified in th</w:t>
      </w:r>
      <w:r w:rsidR="00A33329" w:rsidRPr="00633B53">
        <w:rPr>
          <w:sz w:val="22"/>
          <w:szCs w:val="28"/>
          <w:lang w:val="en-GB"/>
        </w:rPr>
        <w:t>i</w:t>
      </w:r>
      <w:r w:rsidRPr="00633B53">
        <w:rPr>
          <w:sz w:val="22"/>
          <w:szCs w:val="28"/>
          <w:lang w:val="en-GB"/>
        </w:rPr>
        <w:t xml:space="preserve">s </w:t>
      </w:r>
      <w:r w:rsidR="00A33329" w:rsidRPr="00633B53">
        <w:rPr>
          <w:sz w:val="22"/>
          <w:szCs w:val="28"/>
          <w:lang w:val="en-GB"/>
        </w:rPr>
        <w:t>procedure</w:t>
      </w:r>
      <w:r w:rsidRPr="00633B53">
        <w:rPr>
          <w:sz w:val="22"/>
          <w:szCs w:val="28"/>
          <w:lang w:val="en-GB"/>
        </w:rPr>
        <w:t xml:space="preserve">. ‘Auditor’ refers to the </w:t>
      </w:r>
      <w:r w:rsidRPr="00633B53">
        <w:rPr>
          <w:sz w:val="22"/>
          <w:szCs w:val="28"/>
          <w:lang w:val="en-GB"/>
        </w:rPr>
        <w:lastRenderedPageBreak/>
        <w:t>audit firm contracted for performing this engagement and for submitting a report of factual findings to the Beneficiary. 'Auditor' can refer to the person or persons conducting the verification, usually the engagement partner or other members of the engagement team. The engagement partner is the partner or other person in the audit firm who is responsible for the engagement and for the report that is issued on behalf of the firm, and who has the appropriate authority from a professional, legal or regulatory body.</w:t>
      </w:r>
      <w:bookmarkEnd w:id="0"/>
    </w:p>
    <w:p w14:paraId="1D77ECF3" w14:textId="20D43E48" w:rsidR="00767547" w:rsidRDefault="00767547" w:rsidP="00767547">
      <w:pPr>
        <w:jc w:val="both"/>
        <w:rPr>
          <w:sz w:val="20"/>
          <w:lang w:val="en-GB"/>
        </w:rPr>
      </w:pPr>
    </w:p>
    <w:p w14:paraId="084378F5" w14:textId="408D4440" w:rsidR="00302BA4" w:rsidRPr="00CC1EBC" w:rsidRDefault="00302BA4" w:rsidP="00567BD5">
      <w:pPr>
        <w:pStyle w:val="Pargrafdellista"/>
        <w:numPr>
          <w:ilvl w:val="0"/>
          <w:numId w:val="8"/>
        </w:numPr>
        <w:ind w:left="426" w:hanging="426"/>
        <w:jc w:val="both"/>
        <w:rPr>
          <w:b/>
          <w:lang w:val="en-GB"/>
        </w:rPr>
      </w:pPr>
      <w:r w:rsidRPr="00CC1EBC">
        <w:rPr>
          <w:b/>
          <w:lang w:val="en-GB"/>
        </w:rPr>
        <w:t>Engagement Type and Objective</w:t>
      </w:r>
    </w:p>
    <w:p w14:paraId="0680302F" w14:textId="77777777" w:rsidR="00400497" w:rsidRPr="00400497" w:rsidRDefault="00400497" w:rsidP="00400497">
      <w:pPr>
        <w:pStyle w:val="Pargrafdellista"/>
        <w:jc w:val="both"/>
        <w:rPr>
          <w:sz w:val="20"/>
          <w:lang w:val="en-GB"/>
        </w:rPr>
      </w:pPr>
    </w:p>
    <w:p w14:paraId="6C68A7EB" w14:textId="5BFE7880" w:rsidR="00400497" w:rsidRPr="00567BD5" w:rsidRDefault="00302BA4" w:rsidP="00400497">
      <w:pPr>
        <w:spacing w:after="200"/>
        <w:jc w:val="both"/>
        <w:rPr>
          <w:sz w:val="22"/>
          <w:szCs w:val="28"/>
          <w:lang w:val="en-GB"/>
        </w:rPr>
      </w:pPr>
      <w:r w:rsidRPr="00567BD5">
        <w:rPr>
          <w:sz w:val="22"/>
          <w:szCs w:val="28"/>
          <w:lang w:val="en-GB"/>
        </w:rPr>
        <w:t xml:space="preserve">This expenditure </w:t>
      </w:r>
      <w:r w:rsidR="00400497" w:rsidRPr="00567BD5">
        <w:rPr>
          <w:sz w:val="22"/>
          <w:szCs w:val="28"/>
          <w:lang w:val="en-GB"/>
        </w:rPr>
        <w:t xml:space="preserve">and revenue </w:t>
      </w:r>
      <w:r w:rsidRPr="00567BD5">
        <w:rPr>
          <w:sz w:val="22"/>
          <w:szCs w:val="28"/>
          <w:lang w:val="en-GB"/>
        </w:rPr>
        <w:t xml:space="preserve">verification is an engagement to perform certain agreed-upon procedures with regard to the Financial Report for the Grant Contract. The objective of this expenditure verification is for the Auditor to carry out the specific procedures listed in </w:t>
      </w:r>
      <w:r w:rsidR="00400497" w:rsidRPr="00567BD5">
        <w:rPr>
          <w:sz w:val="22"/>
          <w:szCs w:val="28"/>
          <w:lang w:val="en-GB"/>
        </w:rPr>
        <w:t>the a</w:t>
      </w:r>
      <w:r w:rsidRPr="00567BD5">
        <w:rPr>
          <w:sz w:val="22"/>
          <w:szCs w:val="28"/>
          <w:lang w:val="en-GB"/>
        </w:rPr>
        <w:t xml:space="preserve">nnex </w:t>
      </w:r>
      <w:r w:rsidR="00400497" w:rsidRPr="00567BD5">
        <w:rPr>
          <w:sz w:val="22"/>
          <w:szCs w:val="28"/>
          <w:lang w:val="en-GB"/>
        </w:rPr>
        <w:t xml:space="preserve">with the control checklist and </w:t>
      </w:r>
      <w:r w:rsidRPr="00567BD5">
        <w:rPr>
          <w:sz w:val="22"/>
          <w:szCs w:val="28"/>
          <w:lang w:val="en-GB"/>
        </w:rPr>
        <w:t xml:space="preserve">to submit to the </w:t>
      </w:r>
      <w:r w:rsidR="00400497" w:rsidRPr="00567BD5">
        <w:rPr>
          <w:sz w:val="22"/>
          <w:szCs w:val="28"/>
          <w:lang w:val="en-GB"/>
        </w:rPr>
        <w:t xml:space="preserve">Beneficiary (or Lead Beneficiary, when relevant) </w:t>
      </w:r>
      <w:r w:rsidRPr="00567BD5">
        <w:rPr>
          <w:sz w:val="22"/>
          <w:szCs w:val="28"/>
          <w:lang w:val="en-GB"/>
        </w:rPr>
        <w:t xml:space="preserve">a report of factual findings with regard to the specific verification procedures performed. </w:t>
      </w:r>
    </w:p>
    <w:p w14:paraId="1F8405A1" w14:textId="7F87933B" w:rsidR="00302BA4" w:rsidRPr="00567BD5" w:rsidRDefault="00302BA4" w:rsidP="00302BA4">
      <w:pPr>
        <w:jc w:val="both"/>
        <w:rPr>
          <w:sz w:val="22"/>
          <w:szCs w:val="28"/>
          <w:lang w:val="en-GB"/>
        </w:rPr>
      </w:pPr>
      <w:r w:rsidRPr="00567BD5">
        <w:rPr>
          <w:sz w:val="22"/>
          <w:szCs w:val="28"/>
          <w:lang w:val="en-GB"/>
        </w:rPr>
        <w:t xml:space="preserve">Verification means that the Auditor examines the factual information in the Financial Report of the </w:t>
      </w:r>
      <w:r w:rsidR="00400497" w:rsidRPr="00567BD5">
        <w:rPr>
          <w:sz w:val="22"/>
          <w:szCs w:val="28"/>
          <w:lang w:val="en-GB"/>
        </w:rPr>
        <w:t xml:space="preserve">Beneficiary (or Lead Beneficiary, when relevant) </w:t>
      </w:r>
      <w:r w:rsidR="00567BD5">
        <w:rPr>
          <w:sz w:val="22"/>
          <w:szCs w:val="28"/>
          <w:lang w:val="en-GB"/>
        </w:rPr>
        <w:t xml:space="preserve">and subgrantees </w:t>
      </w:r>
      <w:r w:rsidRPr="00567BD5">
        <w:rPr>
          <w:sz w:val="22"/>
          <w:szCs w:val="28"/>
          <w:lang w:val="en-GB"/>
        </w:rPr>
        <w:t>and compares it with the terms and conditions of the Grant Contract</w:t>
      </w:r>
      <w:r w:rsidR="00567BD5">
        <w:rPr>
          <w:sz w:val="22"/>
          <w:szCs w:val="28"/>
          <w:lang w:val="en-GB"/>
        </w:rPr>
        <w:t xml:space="preserve"> and the Subgrants Contracts</w:t>
      </w:r>
      <w:r w:rsidRPr="00567BD5">
        <w:rPr>
          <w:sz w:val="22"/>
          <w:szCs w:val="28"/>
          <w:lang w:val="en-GB"/>
        </w:rPr>
        <w:t xml:space="preserve">. As this engagement is not an assurance engagement the Auditor does not provide an audit opinion and expresses no assurance. The </w:t>
      </w:r>
      <w:r w:rsidR="00400497" w:rsidRPr="00567BD5">
        <w:rPr>
          <w:sz w:val="22"/>
          <w:szCs w:val="28"/>
          <w:lang w:val="en-GB"/>
        </w:rPr>
        <w:t>Managing</w:t>
      </w:r>
      <w:r w:rsidRPr="00567BD5">
        <w:rPr>
          <w:sz w:val="22"/>
          <w:szCs w:val="28"/>
          <w:lang w:val="en-GB"/>
        </w:rPr>
        <w:t xml:space="preserve"> Authority assesses for itself the factual findings reported by the Auditor and draws its own conclusions from these factual findings.</w:t>
      </w:r>
    </w:p>
    <w:p w14:paraId="663E3CF5" w14:textId="77777777" w:rsidR="00400497" w:rsidRPr="00302BA4" w:rsidRDefault="00400497" w:rsidP="00302BA4">
      <w:pPr>
        <w:jc w:val="both"/>
        <w:rPr>
          <w:sz w:val="20"/>
          <w:lang w:val="en-GB"/>
        </w:rPr>
      </w:pPr>
    </w:p>
    <w:p w14:paraId="26D8B4ED" w14:textId="31AAEFF3" w:rsidR="00302BA4" w:rsidRPr="00CC1EBC" w:rsidRDefault="00302BA4" w:rsidP="00567BD5">
      <w:pPr>
        <w:pStyle w:val="Pargrafdellista"/>
        <w:numPr>
          <w:ilvl w:val="0"/>
          <w:numId w:val="8"/>
        </w:numPr>
        <w:ind w:left="426" w:hanging="426"/>
        <w:jc w:val="both"/>
        <w:rPr>
          <w:b/>
          <w:lang w:val="en-GB"/>
        </w:rPr>
      </w:pPr>
      <w:r w:rsidRPr="00CC1EBC">
        <w:rPr>
          <w:b/>
          <w:lang w:val="en-GB"/>
        </w:rPr>
        <w:t>Standards and Ethics</w:t>
      </w:r>
    </w:p>
    <w:p w14:paraId="05C419AB" w14:textId="77777777" w:rsidR="00400497" w:rsidRPr="00400497" w:rsidRDefault="00400497" w:rsidP="00400497">
      <w:pPr>
        <w:pStyle w:val="Pargrafdellista"/>
        <w:jc w:val="both"/>
        <w:rPr>
          <w:sz w:val="20"/>
          <w:lang w:val="en-GB"/>
        </w:rPr>
      </w:pPr>
    </w:p>
    <w:p w14:paraId="62A1ADDB" w14:textId="77777777" w:rsidR="00302BA4" w:rsidRPr="00567BD5" w:rsidRDefault="00302BA4" w:rsidP="00567BD5">
      <w:pPr>
        <w:spacing w:after="100"/>
        <w:jc w:val="both"/>
        <w:rPr>
          <w:sz w:val="22"/>
          <w:szCs w:val="28"/>
          <w:lang w:val="en-GB"/>
        </w:rPr>
      </w:pPr>
      <w:r w:rsidRPr="00567BD5">
        <w:rPr>
          <w:sz w:val="22"/>
          <w:szCs w:val="28"/>
          <w:lang w:val="en-GB"/>
        </w:rPr>
        <w:t>The Auditor shall undertake this engagement in accordance with:</w:t>
      </w:r>
    </w:p>
    <w:p w14:paraId="6F978884" w14:textId="26D84699" w:rsidR="00302BA4" w:rsidRPr="00567BD5" w:rsidRDefault="00302BA4" w:rsidP="00400497">
      <w:pPr>
        <w:pStyle w:val="Pargrafdellista"/>
        <w:numPr>
          <w:ilvl w:val="0"/>
          <w:numId w:val="13"/>
        </w:numPr>
        <w:spacing w:after="100"/>
        <w:ind w:left="426" w:hanging="284"/>
        <w:jc w:val="both"/>
        <w:rPr>
          <w:sz w:val="22"/>
          <w:szCs w:val="28"/>
          <w:lang w:val="en-GB"/>
        </w:rPr>
      </w:pPr>
      <w:r w:rsidRPr="00567BD5">
        <w:rPr>
          <w:sz w:val="22"/>
          <w:szCs w:val="28"/>
          <w:lang w:val="en-GB"/>
        </w:rPr>
        <w:t>the International Standard on Related Services (‘ISRS’) 4400 Engagements to perform Agreed-upon Procedures regarding Financial Information as promulgated by the IFAC;</w:t>
      </w:r>
    </w:p>
    <w:p w14:paraId="235D279E" w14:textId="18107EB8" w:rsidR="00302BA4" w:rsidRPr="00567BD5" w:rsidRDefault="00302BA4" w:rsidP="00400497">
      <w:pPr>
        <w:pStyle w:val="Pargrafdellista"/>
        <w:numPr>
          <w:ilvl w:val="0"/>
          <w:numId w:val="13"/>
        </w:numPr>
        <w:ind w:left="426" w:hanging="284"/>
        <w:jc w:val="both"/>
        <w:rPr>
          <w:sz w:val="22"/>
          <w:szCs w:val="28"/>
          <w:lang w:val="en-GB"/>
        </w:rPr>
      </w:pPr>
      <w:r w:rsidRPr="00567BD5">
        <w:rPr>
          <w:sz w:val="22"/>
          <w:szCs w:val="28"/>
          <w:lang w:val="en-GB"/>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Although ISRS 4400 provides that independence is not a requirement for agreed-upon procedures engagements, the </w:t>
      </w:r>
      <w:r w:rsidR="00C06E18" w:rsidRPr="00567BD5">
        <w:rPr>
          <w:sz w:val="22"/>
          <w:szCs w:val="28"/>
          <w:lang w:val="en-GB"/>
        </w:rPr>
        <w:t xml:space="preserve">ENI CBC Implementing Rules </w:t>
      </w:r>
      <w:r w:rsidRPr="00567BD5">
        <w:rPr>
          <w:sz w:val="22"/>
          <w:szCs w:val="28"/>
          <w:lang w:val="en-GB"/>
        </w:rPr>
        <w:t>requires that the Auditor is independent from the Beneficiary(</w:t>
      </w:r>
      <w:proofErr w:type="spellStart"/>
      <w:r w:rsidRPr="00567BD5">
        <w:rPr>
          <w:sz w:val="22"/>
          <w:szCs w:val="28"/>
          <w:lang w:val="en-GB"/>
        </w:rPr>
        <w:t>ies</w:t>
      </w:r>
      <w:proofErr w:type="spellEnd"/>
      <w:r w:rsidRPr="00567BD5">
        <w:rPr>
          <w:sz w:val="22"/>
          <w:szCs w:val="28"/>
          <w:lang w:val="en-GB"/>
        </w:rPr>
        <w:t xml:space="preserve">) </w:t>
      </w:r>
      <w:r w:rsidR="00567BD5">
        <w:rPr>
          <w:sz w:val="22"/>
          <w:szCs w:val="28"/>
          <w:lang w:val="en-GB"/>
        </w:rPr>
        <w:t xml:space="preserve">and subgrantees </w:t>
      </w:r>
      <w:r w:rsidRPr="00567BD5">
        <w:rPr>
          <w:sz w:val="22"/>
          <w:szCs w:val="28"/>
          <w:lang w:val="en-GB"/>
        </w:rPr>
        <w:t>and complies with the independence requirements of the IFAC Code of Ethics for Professional Accountants.</w:t>
      </w:r>
    </w:p>
    <w:p w14:paraId="1E185A2A" w14:textId="77777777" w:rsidR="00400497" w:rsidRPr="00400497" w:rsidRDefault="00400497" w:rsidP="00400497">
      <w:pPr>
        <w:jc w:val="both"/>
        <w:rPr>
          <w:sz w:val="20"/>
          <w:lang w:val="en-GB"/>
        </w:rPr>
      </w:pPr>
    </w:p>
    <w:p w14:paraId="47C58F05" w14:textId="11212096" w:rsidR="00302BA4" w:rsidRPr="00CC1EBC" w:rsidRDefault="00C06E18" w:rsidP="00567BD5">
      <w:pPr>
        <w:pStyle w:val="Pargrafdellista"/>
        <w:numPr>
          <w:ilvl w:val="0"/>
          <w:numId w:val="8"/>
        </w:numPr>
        <w:ind w:left="426" w:hanging="426"/>
        <w:jc w:val="both"/>
        <w:rPr>
          <w:b/>
          <w:lang w:val="en-GB"/>
        </w:rPr>
      </w:pPr>
      <w:r w:rsidRPr="00CC1EBC">
        <w:rPr>
          <w:b/>
          <w:lang w:val="en-GB"/>
        </w:rPr>
        <w:t>Evidence and Documentation</w:t>
      </w:r>
    </w:p>
    <w:p w14:paraId="66473A93" w14:textId="77777777" w:rsidR="00C06E18" w:rsidRPr="00C06E18" w:rsidRDefault="00C06E18" w:rsidP="00C06E18">
      <w:pPr>
        <w:pStyle w:val="Pargrafdellista"/>
        <w:jc w:val="both"/>
        <w:rPr>
          <w:sz w:val="20"/>
          <w:lang w:val="en-GB"/>
        </w:rPr>
      </w:pPr>
    </w:p>
    <w:p w14:paraId="6AAE3F97" w14:textId="4C61ABE1" w:rsidR="00C06E18" w:rsidRPr="00567BD5" w:rsidRDefault="00302BA4" w:rsidP="00C06E18">
      <w:pPr>
        <w:spacing w:after="200"/>
        <w:jc w:val="both"/>
        <w:rPr>
          <w:sz w:val="22"/>
          <w:szCs w:val="28"/>
          <w:lang w:val="en-GB"/>
        </w:rPr>
      </w:pPr>
      <w:r w:rsidRPr="00567BD5">
        <w:rPr>
          <w:sz w:val="22"/>
          <w:szCs w:val="28"/>
          <w:lang w:val="en-GB"/>
        </w:rPr>
        <w:t xml:space="preserve">The Auditor plans the work so that an effective expenditure </w:t>
      </w:r>
      <w:r w:rsidR="00C06E18" w:rsidRPr="00567BD5">
        <w:rPr>
          <w:sz w:val="22"/>
          <w:szCs w:val="28"/>
          <w:lang w:val="en-GB"/>
        </w:rPr>
        <w:t xml:space="preserve">and revenue </w:t>
      </w:r>
      <w:r w:rsidRPr="00567BD5">
        <w:rPr>
          <w:sz w:val="22"/>
          <w:szCs w:val="28"/>
          <w:lang w:val="en-GB"/>
        </w:rPr>
        <w:t xml:space="preserve">verification can be performed. The evidence to be used for performing the procedures in </w:t>
      </w:r>
      <w:r w:rsidR="00C06E18" w:rsidRPr="00567BD5">
        <w:rPr>
          <w:sz w:val="22"/>
          <w:szCs w:val="28"/>
          <w:lang w:val="en-GB"/>
        </w:rPr>
        <w:t>the control checklist</w:t>
      </w:r>
      <w:r w:rsidRPr="00567BD5">
        <w:rPr>
          <w:sz w:val="22"/>
          <w:szCs w:val="28"/>
          <w:lang w:val="en-GB"/>
        </w:rPr>
        <w:t xml:space="preserve"> is all financial and non-financial information which makes it possible to examine the expenditure </w:t>
      </w:r>
      <w:r w:rsidR="00C06E18" w:rsidRPr="00567BD5">
        <w:rPr>
          <w:sz w:val="22"/>
          <w:szCs w:val="28"/>
          <w:lang w:val="en-GB"/>
        </w:rPr>
        <w:t xml:space="preserve">and revenue declared </w:t>
      </w:r>
      <w:r w:rsidRPr="00567BD5">
        <w:rPr>
          <w:sz w:val="22"/>
          <w:szCs w:val="28"/>
          <w:lang w:val="en-GB"/>
        </w:rPr>
        <w:t xml:space="preserve">by the </w:t>
      </w:r>
      <w:r w:rsidR="00C06E18" w:rsidRPr="00567BD5">
        <w:rPr>
          <w:sz w:val="22"/>
          <w:szCs w:val="28"/>
          <w:lang w:val="en-GB"/>
        </w:rPr>
        <w:t xml:space="preserve">Beneficiary (or Lead Beneficiary, when relevant) </w:t>
      </w:r>
      <w:r w:rsidRPr="00567BD5">
        <w:rPr>
          <w:sz w:val="22"/>
          <w:szCs w:val="28"/>
          <w:lang w:val="en-GB"/>
        </w:rPr>
        <w:t xml:space="preserve">in the Financial Report. </w:t>
      </w:r>
    </w:p>
    <w:p w14:paraId="09660EE0" w14:textId="095C8AAA" w:rsidR="00767547" w:rsidRPr="00567BD5" w:rsidRDefault="00302BA4" w:rsidP="00302BA4">
      <w:pPr>
        <w:jc w:val="both"/>
        <w:rPr>
          <w:sz w:val="22"/>
          <w:szCs w:val="28"/>
          <w:lang w:val="en-GB"/>
        </w:rPr>
      </w:pPr>
      <w:r w:rsidRPr="00567BD5">
        <w:rPr>
          <w:sz w:val="22"/>
          <w:szCs w:val="28"/>
          <w:lang w:val="en-GB"/>
        </w:rPr>
        <w:lastRenderedPageBreak/>
        <w:t xml:space="preserve">The Auditor uses the evidence obtained from these procedures as the basis for the report of factual findings. The Auditor documents matters which are important in providing evidence to support the report of factual findings, and evidence that the work was carried out in accordance with ISRS 4400 and these </w:t>
      </w:r>
      <w:r w:rsidR="00C06E18" w:rsidRPr="00567BD5">
        <w:rPr>
          <w:sz w:val="22"/>
          <w:szCs w:val="28"/>
          <w:lang w:val="en-GB"/>
        </w:rPr>
        <w:t>procedures</w:t>
      </w:r>
      <w:r w:rsidRPr="00567BD5">
        <w:rPr>
          <w:sz w:val="22"/>
          <w:szCs w:val="28"/>
          <w:lang w:val="en-GB"/>
        </w:rPr>
        <w:t>.</w:t>
      </w:r>
      <w:r w:rsidR="00C06E18" w:rsidRPr="00567BD5">
        <w:rPr>
          <w:sz w:val="22"/>
          <w:szCs w:val="28"/>
          <w:lang w:val="en-GB"/>
        </w:rPr>
        <w:t xml:space="preserve"> The Managing Authority, the Control Contact Points of the country of the beneficiary and any other competent body of the European Union or duly authorised by them, may have access to the working papers of the Auditor to verify the quality of the work carried out.</w:t>
      </w:r>
    </w:p>
    <w:p w14:paraId="3E404B56" w14:textId="77777777" w:rsidR="005410FB" w:rsidRPr="00567BD5" w:rsidRDefault="005410FB" w:rsidP="00302BA4">
      <w:pPr>
        <w:jc w:val="both"/>
        <w:rPr>
          <w:sz w:val="22"/>
          <w:szCs w:val="28"/>
          <w:lang w:val="en-GB"/>
        </w:rPr>
      </w:pPr>
    </w:p>
    <w:p w14:paraId="6F90525A" w14:textId="1B17C86B" w:rsidR="005410FB" w:rsidRPr="00CC1EBC" w:rsidRDefault="005410FB" w:rsidP="00567BD5">
      <w:pPr>
        <w:pStyle w:val="Ttol2"/>
        <w:numPr>
          <w:ilvl w:val="0"/>
          <w:numId w:val="8"/>
        </w:numPr>
        <w:ind w:left="426" w:hanging="284"/>
        <w:rPr>
          <w:rFonts w:eastAsiaTheme="minorHAnsi" w:cstheme="minorBidi"/>
          <w:b/>
          <w:color w:val="auto"/>
          <w:sz w:val="24"/>
          <w:szCs w:val="24"/>
          <w:lang w:val="en-GB"/>
        </w:rPr>
      </w:pPr>
      <w:r w:rsidRPr="00CC1EBC">
        <w:rPr>
          <w:rFonts w:eastAsiaTheme="minorHAnsi" w:cstheme="minorBidi"/>
          <w:b/>
          <w:color w:val="auto"/>
          <w:sz w:val="24"/>
          <w:szCs w:val="24"/>
          <w:lang w:val="en-GB"/>
        </w:rPr>
        <w:t>Reporting</w:t>
      </w:r>
    </w:p>
    <w:p w14:paraId="7A707D12" w14:textId="77777777" w:rsidR="005410FB" w:rsidRPr="005410FB" w:rsidRDefault="005410FB" w:rsidP="005410FB"/>
    <w:p w14:paraId="0EB42A94" w14:textId="58F3E301" w:rsidR="005410FB" w:rsidRPr="00567BD5" w:rsidRDefault="005410FB" w:rsidP="005410FB">
      <w:pPr>
        <w:spacing w:after="200"/>
        <w:jc w:val="both"/>
        <w:rPr>
          <w:sz w:val="22"/>
        </w:rPr>
      </w:pPr>
      <w:r w:rsidRPr="00567BD5">
        <w:rPr>
          <w:sz w:val="22"/>
        </w:rPr>
        <w:t xml:space="preserve">The report on this expenditure and revenue verification </w:t>
      </w:r>
      <w:r w:rsidR="007D2A29" w:rsidRPr="00567BD5">
        <w:rPr>
          <w:sz w:val="22"/>
        </w:rPr>
        <w:t>shall</w:t>
      </w:r>
      <w:r w:rsidRPr="00567BD5">
        <w:rPr>
          <w:sz w:val="22"/>
        </w:rPr>
        <w:t xml:space="preserve"> describe the purpose, the agreed-upon procedures and the factual findings of the engagement in sufficient detail to enable the </w:t>
      </w:r>
      <w:r w:rsidR="007D2A29" w:rsidRPr="00567BD5">
        <w:rPr>
          <w:sz w:val="22"/>
          <w:szCs w:val="28"/>
          <w:lang w:val="en-GB"/>
        </w:rPr>
        <w:t xml:space="preserve">Beneficiary (or Lead Beneficiary, when relevant) </w:t>
      </w:r>
      <w:r w:rsidRPr="00567BD5">
        <w:rPr>
          <w:sz w:val="22"/>
        </w:rPr>
        <w:t xml:space="preserve">and the </w:t>
      </w:r>
      <w:r w:rsidR="007D2A29" w:rsidRPr="00567BD5">
        <w:rPr>
          <w:sz w:val="22"/>
        </w:rPr>
        <w:t>Managing</w:t>
      </w:r>
      <w:r w:rsidRPr="00567BD5">
        <w:rPr>
          <w:sz w:val="22"/>
        </w:rPr>
        <w:t xml:space="preserve"> Authority to understand the nature and extent of the procedures performed by the Auditor and the factual findings reported by the Auditor.</w:t>
      </w:r>
    </w:p>
    <w:p w14:paraId="30D22830" w14:textId="3CF412C5" w:rsidR="005410FB" w:rsidRPr="00567BD5" w:rsidRDefault="005410FB" w:rsidP="005410FB">
      <w:pPr>
        <w:jc w:val="both"/>
        <w:rPr>
          <w:sz w:val="22"/>
        </w:rPr>
      </w:pPr>
      <w:r w:rsidRPr="00567BD5">
        <w:rPr>
          <w:sz w:val="22"/>
        </w:rPr>
        <w:t xml:space="preserve">The use of the Model Report for </w:t>
      </w:r>
      <w:r w:rsidR="007D2A29" w:rsidRPr="00567BD5">
        <w:rPr>
          <w:sz w:val="22"/>
        </w:rPr>
        <w:t>the e</w:t>
      </w:r>
      <w:r w:rsidRPr="00567BD5">
        <w:rPr>
          <w:sz w:val="22"/>
        </w:rPr>
        <w:t xml:space="preserve">xpenditure </w:t>
      </w:r>
      <w:r w:rsidR="007D2A29" w:rsidRPr="00567BD5">
        <w:rPr>
          <w:sz w:val="22"/>
        </w:rPr>
        <w:t>and revenue v</w:t>
      </w:r>
      <w:r w:rsidRPr="00567BD5">
        <w:rPr>
          <w:sz w:val="22"/>
        </w:rPr>
        <w:t xml:space="preserve">erification in </w:t>
      </w:r>
      <w:r w:rsidR="007D2A29" w:rsidRPr="00567BD5">
        <w:rPr>
          <w:sz w:val="22"/>
        </w:rPr>
        <w:t>a</w:t>
      </w:r>
      <w:r w:rsidRPr="00567BD5">
        <w:rPr>
          <w:sz w:val="22"/>
        </w:rPr>
        <w:t xml:space="preserve">nnex </w:t>
      </w:r>
      <w:r w:rsidR="007D2A29" w:rsidRPr="00567BD5">
        <w:rPr>
          <w:sz w:val="22"/>
        </w:rPr>
        <w:t>to the contract with the beneficiary is compulsory</w:t>
      </w:r>
      <w:r w:rsidRPr="00567BD5">
        <w:rPr>
          <w:sz w:val="22"/>
        </w:rPr>
        <w:t>.</w:t>
      </w:r>
    </w:p>
    <w:p w14:paraId="14E9B21F" w14:textId="1DFCCB62" w:rsidR="00C06E18" w:rsidRDefault="00C06E18" w:rsidP="00302BA4">
      <w:pPr>
        <w:jc w:val="both"/>
        <w:rPr>
          <w:sz w:val="18"/>
        </w:rPr>
      </w:pPr>
    </w:p>
    <w:p w14:paraId="28373D9E" w14:textId="1C60412F" w:rsidR="00CC1EBC" w:rsidRPr="00CC1EBC" w:rsidRDefault="00CC1EBC" w:rsidP="00567BD5">
      <w:pPr>
        <w:pStyle w:val="Ttol1"/>
        <w:numPr>
          <w:ilvl w:val="0"/>
          <w:numId w:val="8"/>
        </w:numPr>
        <w:ind w:left="426" w:hanging="426"/>
        <w:rPr>
          <w:rFonts w:eastAsiaTheme="minorHAnsi" w:cstheme="minorBidi"/>
          <w:b/>
          <w:color w:val="auto"/>
          <w:sz w:val="24"/>
          <w:szCs w:val="24"/>
          <w:lang w:val="en-GB"/>
        </w:rPr>
      </w:pPr>
      <w:r w:rsidRPr="00CC1EBC">
        <w:rPr>
          <w:rFonts w:eastAsiaTheme="minorHAnsi" w:cstheme="minorBidi"/>
          <w:b/>
          <w:color w:val="auto"/>
          <w:sz w:val="24"/>
          <w:szCs w:val="24"/>
          <w:lang w:val="en-GB"/>
        </w:rPr>
        <w:t>General Procedures</w:t>
      </w:r>
    </w:p>
    <w:p w14:paraId="6A43AD50" w14:textId="2BAE972A" w:rsidR="00CC1EBC" w:rsidRPr="00CC1EBC" w:rsidRDefault="00CC1EBC" w:rsidP="00584C6F">
      <w:pPr>
        <w:pStyle w:val="Ttol2"/>
        <w:keepLines w:val="0"/>
        <w:numPr>
          <w:ilvl w:val="1"/>
          <w:numId w:val="8"/>
        </w:numPr>
        <w:spacing w:before="240" w:after="120"/>
        <w:ind w:left="567" w:hanging="567"/>
        <w:rPr>
          <w:rFonts w:eastAsiaTheme="minorHAnsi" w:cstheme="minorBidi"/>
          <w:b/>
          <w:color w:val="auto"/>
          <w:sz w:val="22"/>
          <w:szCs w:val="24"/>
          <w:lang w:val="en-GB"/>
        </w:rPr>
      </w:pPr>
      <w:r w:rsidRPr="00CC1EBC">
        <w:rPr>
          <w:rFonts w:eastAsiaTheme="minorHAnsi" w:cstheme="minorBidi"/>
          <w:b/>
          <w:color w:val="auto"/>
          <w:sz w:val="22"/>
          <w:szCs w:val="24"/>
          <w:lang w:val="en-GB"/>
        </w:rPr>
        <w:t>Terms and Conditions of the Grant Contract</w:t>
      </w:r>
    </w:p>
    <w:p w14:paraId="415CCAE0" w14:textId="77777777" w:rsidR="00CC1EBC" w:rsidRPr="00584C6F" w:rsidRDefault="00CC1EBC" w:rsidP="00584C6F">
      <w:pPr>
        <w:spacing w:after="100"/>
        <w:rPr>
          <w:sz w:val="22"/>
          <w:szCs w:val="22"/>
        </w:rPr>
      </w:pPr>
      <w:r w:rsidRPr="00584C6F">
        <w:rPr>
          <w:sz w:val="22"/>
          <w:szCs w:val="22"/>
        </w:rPr>
        <w:t>The Auditor:</w:t>
      </w:r>
    </w:p>
    <w:p w14:paraId="1FDFD409" w14:textId="607E4F84" w:rsidR="00CC1EBC" w:rsidRPr="00584C6F" w:rsidRDefault="00CC1EBC" w:rsidP="00CC1EBC">
      <w:pPr>
        <w:pStyle w:val="Pargrafdellista"/>
        <w:numPr>
          <w:ilvl w:val="0"/>
          <w:numId w:val="19"/>
        </w:numPr>
        <w:ind w:left="426" w:hanging="284"/>
        <w:jc w:val="both"/>
        <w:rPr>
          <w:sz w:val="22"/>
          <w:szCs w:val="22"/>
        </w:rPr>
      </w:pPr>
      <w:r w:rsidRPr="00584C6F">
        <w:rPr>
          <w:sz w:val="22"/>
          <w:szCs w:val="22"/>
        </w:rPr>
        <w:t>obtains an understanding of the terms and conditions of the Grant Contract by reviewing the Grant Contract and its annexes and other relevant information, and by inquiry of the Beneficiary;</w:t>
      </w:r>
    </w:p>
    <w:p w14:paraId="34D6FFAA" w14:textId="77777777" w:rsidR="00584C6F" w:rsidRPr="00584C6F" w:rsidRDefault="00CC1EBC" w:rsidP="00CC1EBC">
      <w:pPr>
        <w:pStyle w:val="Pargrafdellista"/>
        <w:numPr>
          <w:ilvl w:val="0"/>
          <w:numId w:val="19"/>
        </w:numPr>
        <w:ind w:left="426" w:hanging="284"/>
        <w:jc w:val="both"/>
        <w:rPr>
          <w:sz w:val="22"/>
          <w:szCs w:val="22"/>
        </w:rPr>
      </w:pPr>
      <w:r w:rsidRPr="00584C6F">
        <w:rPr>
          <w:sz w:val="22"/>
          <w:szCs w:val="22"/>
        </w:rPr>
        <w:t>obtains a copy of the original Grant Contract</w:t>
      </w:r>
      <w:r w:rsidR="00584C6F" w:rsidRPr="00584C6F">
        <w:rPr>
          <w:sz w:val="22"/>
          <w:szCs w:val="22"/>
        </w:rPr>
        <w:t xml:space="preserve"> and the</w:t>
      </w:r>
      <w:r w:rsidRPr="00584C6F">
        <w:rPr>
          <w:sz w:val="22"/>
          <w:szCs w:val="22"/>
        </w:rPr>
        <w:t xml:space="preserve"> Partnership Agreement;</w:t>
      </w:r>
      <w:r w:rsidR="00584C6F" w:rsidRPr="00584C6F">
        <w:rPr>
          <w:sz w:val="22"/>
          <w:szCs w:val="22"/>
        </w:rPr>
        <w:t xml:space="preserve"> </w:t>
      </w:r>
    </w:p>
    <w:p w14:paraId="68D61CE2" w14:textId="08A034BD" w:rsidR="00CC1EBC" w:rsidRPr="00584C6F" w:rsidRDefault="00584C6F" w:rsidP="00CC1EBC">
      <w:pPr>
        <w:pStyle w:val="Pargrafdellista"/>
        <w:numPr>
          <w:ilvl w:val="0"/>
          <w:numId w:val="19"/>
        </w:numPr>
        <w:ind w:left="426" w:hanging="284"/>
        <w:jc w:val="both"/>
        <w:rPr>
          <w:sz w:val="22"/>
          <w:szCs w:val="22"/>
        </w:rPr>
      </w:pPr>
      <w:r w:rsidRPr="00584C6F">
        <w:rPr>
          <w:sz w:val="22"/>
          <w:szCs w:val="22"/>
        </w:rPr>
        <w:t>obtains a copy of the documents of the call for subgrants (including evaluation and contracting) and the Subgrant Contracts;</w:t>
      </w:r>
    </w:p>
    <w:p w14:paraId="791EEC1B" w14:textId="4EAD2015" w:rsidR="00CC1EBC" w:rsidRPr="00584C6F" w:rsidRDefault="00CC1EBC" w:rsidP="00CC1EBC">
      <w:pPr>
        <w:pStyle w:val="Pargrafdellista"/>
        <w:numPr>
          <w:ilvl w:val="0"/>
          <w:numId w:val="19"/>
        </w:numPr>
        <w:ind w:left="426" w:hanging="284"/>
        <w:jc w:val="both"/>
        <w:rPr>
          <w:sz w:val="22"/>
          <w:szCs w:val="22"/>
        </w:rPr>
      </w:pPr>
      <w:r w:rsidRPr="00584C6F">
        <w:rPr>
          <w:sz w:val="22"/>
          <w:szCs w:val="22"/>
        </w:rPr>
        <w:t>obtains and reviews the Financial Report (which includes a narrative and a financial section);</w:t>
      </w:r>
    </w:p>
    <w:p w14:paraId="77288840" w14:textId="7005F3DA" w:rsidR="00CC1EBC" w:rsidRPr="00CC1EBC" w:rsidRDefault="00CC1EBC" w:rsidP="00CC1EBC">
      <w:pPr>
        <w:pStyle w:val="Pargrafdellista"/>
        <w:numPr>
          <w:ilvl w:val="0"/>
          <w:numId w:val="19"/>
        </w:numPr>
        <w:ind w:left="426" w:hanging="284"/>
        <w:jc w:val="both"/>
        <w:rPr>
          <w:sz w:val="20"/>
          <w:szCs w:val="20"/>
        </w:rPr>
      </w:pPr>
      <w:r w:rsidRPr="00584C6F">
        <w:rPr>
          <w:sz w:val="22"/>
          <w:szCs w:val="22"/>
        </w:rPr>
        <w:t>verifies whether there is (are) an affiliated entity(</w:t>
      </w:r>
      <w:proofErr w:type="spellStart"/>
      <w:r w:rsidRPr="00584C6F">
        <w:rPr>
          <w:sz w:val="22"/>
          <w:szCs w:val="22"/>
        </w:rPr>
        <w:t>ies</w:t>
      </w:r>
      <w:proofErr w:type="spellEnd"/>
      <w:r w:rsidRPr="00584C6F">
        <w:rPr>
          <w:sz w:val="22"/>
          <w:szCs w:val="22"/>
        </w:rPr>
        <w:t>)</w:t>
      </w:r>
      <w:r w:rsidR="000D282A" w:rsidRPr="00584C6F">
        <w:rPr>
          <w:rStyle w:val="Refernciadenotaapeudepgina"/>
          <w:sz w:val="22"/>
          <w:szCs w:val="22"/>
        </w:rPr>
        <w:footnoteReference w:id="3"/>
      </w:r>
      <w:r w:rsidRPr="00584C6F">
        <w:rPr>
          <w:sz w:val="22"/>
          <w:szCs w:val="22"/>
        </w:rPr>
        <w:t xml:space="preserve"> to the Beneficiary(</w:t>
      </w:r>
      <w:proofErr w:type="spellStart"/>
      <w:r w:rsidRPr="00584C6F">
        <w:rPr>
          <w:sz w:val="22"/>
          <w:szCs w:val="22"/>
        </w:rPr>
        <w:t>ies</w:t>
      </w:r>
      <w:proofErr w:type="spellEnd"/>
      <w:r w:rsidRPr="00584C6F">
        <w:rPr>
          <w:sz w:val="22"/>
          <w:szCs w:val="22"/>
        </w:rPr>
        <w:t>).</w:t>
      </w:r>
      <w:r w:rsidRPr="00CC1EBC">
        <w:rPr>
          <w:sz w:val="20"/>
          <w:szCs w:val="20"/>
        </w:rPr>
        <w:t xml:space="preserve"> </w:t>
      </w:r>
    </w:p>
    <w:p w14:paraId="5C4396C4" w14:textId="228EBF74" w:rsidR="00CC1EBC" w:rsidRPr="00CC1EBC" w:rsidRDefault="00CC1EBC" w:rsidP="00CC1EBC">
      <w:pPr>
        <w:jc w:val="both"/>
        <w:rPr>
          <w:sz w:val="20"/>
          <w:szCs w:val="20"/>
        </w:rPr>
      </w:pPr>
      <w:r w:rsidRPr="00CC1EBC">
        <w:rPr>
          <w:sz w:val="20"/>
          <w:szCs w:val="20"/>
        </w:rPr>
        <w:t xml:space="preserve"> </w:t>
      </w:r>
    </w:p>
    <w:p w14:paraId="2141EFB9" w14:textId="13171073" w:rsidR="004A0311" w:rsidRPr="004A0311" w:rsidRDefault="004A0311" w:rsidP="00584C6F">
      <w:pPr>
        <w:pStyle w:val="ListDash"/>
        <w:numPr>
          <w:ilvl w:val="1"/>
          <w:numId w:val="8"/>
        </w:numPr>
        <w:ind w:left="567" w:hanging="567"/>
        <w:rPr>
          <w:rFonts w:ascii="Century Gothic" w:eastAsiaTheme="minorHAnsi" w:hAnsi="Century Gothic" w:cstheme="minorBidi"/>
          <w:b/>
          <w:sz w:val="22"/>
          <w:szCs w:val="24"/>
          <w:lang w:val="en-GB"/>
        </w:rPr>
      </w:pPr>
      <w:r>
        <w:rPr>
          <w:rFonts w:ascii="Century Gothic" w:eastAsiaTheme="minorHAnsi" w:hAnsi="Century Gothic" w:cstheme="minorBidi"/>
          <w:b/>
          <w:sz w:val="22"/>
          <w:szCs w:val="24"/>
          <w:lang w:val="en-GB"/>
        </w:rPr>
        <w:t>V</w:t>
      </w:r>
      <w:r w:rsidRPr="004A0311">
        <w:rPr>
          <w:rFonts w:ascii="Century Gothic" w:eastAsiaTheme="minorHAnsi" w:hAnsi="Century Gothic" w:cstheme="minorBidi"/>
          <w:b/>
          <w:sz w:val="22"/>
          <w:szCs w:val="24"/>
          <w:lang w:val="en-GB"/>
        </w:rPr>
        <w:t>erification evidence</w:t>
      </w:r>
    </w:p>
    <w:p w14:paraId="79964B85" w14:textId="5A0BA75C" w:rsidR="004A0311" w:rsidRPr="00584C6F" w:rsidRDefault="004A0311" w:rsidP="004A0311">
      <w:pPr>
        <w:pStyle w:val="ListDash"/>
        <w:numPr>
          <w:ilvl w:val="0"/>
          <w:numId w:val="0"/>
        </w:numPr>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When performing the specific procedures listed in control checklist, the Auditor may apply techniques such as inquiry and analysis, (re)computation, comparison, other clerical accuracy checks, observation, inspection of records and documents, inspection of assets and obtaining confirmations.</w:t>
      </w:r>
    </w:p>
    <w:p w14:paraId="15DC19D1" w14:textId="77777777" w:rsidR="004A0311" w:rsidRPr="00584C6F" w:rsidRDefault="004A0311" w:rsidP="004A0311">
      <w:pPr>
        <w:pStyle w:val="ListDash"/>
        <w:numPr>
          <w:ilvl w:val="0"/>
          <w:numId w:val="0"/>
        </w:numPr>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The Auditor obtains verification evidence from these procedures to draw up the report of factual findings. Verification evidence is all information used by the Auditor in arriving at the factual findings and it includes the information contained in the accounting records underlying the Financial Report and other information (financial and non-financial).</w:t>
      </w:r>
    </w:p>
    <w:p w14:paraId="37D71B00" w14:textId="77777777" w:rsidR="004A0311" w:rsidRPr="00584C6F" w:rsidRDefault="004A0311" w:rsidP="00584C6F">
      <w:pPr>
        <w:pStyle w:val="ListDash"/>
        <w:numPr>
          <w:ilvl w:val="0"/>
          <w:numId w:val="0"/>
        </w:numPr>
        <w:spacing w:after="100"/>
        <w:ind w:left="284" w:hanging="284"/>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lastRenderedPageBreak/>
        <w:t>The contractual requirements that relate to verification evidence are:</w:t>
      </w:r>
    </w:p>
    <w:p w14:paraId="5233B20E" w14:textId="4E67ACDE" w:rsidR="004A0311" w:rsidRPr="00584C6F" w:rsidRDefault="004A0311" w:rsidP="00584C6F">
      <w:pPr>
        <w:pStyle w:val="ListDash"/>
        <w:numPr>
          <w:ilvl w:val="0"/>
          <w:numId w:val="22"/>
        </w:numPr>
        <w:spacing w:after="100"/>
        <w:ind w:left="426" w:hanging="284"/>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Expenditure should be identifiable, verifiable and recorded in the accounting records of the Beneficiary</w:t>
      </w:r>
      <w:r w:rsidR="00584C6F">
        <w:rPr>
          <w:rFonts w:ascii="Century Gothic" w:eastAsiaTheme="minorHAnsi" w:hAnsi="Century Gothic" w:cstheme="minorBidi"/>
          <w:sz w:val="22"/>
          <w:szCs w:val="22"/>
          <w:lang w:val="en-US"/>
        </w:rPr>
        <w:t xml:space="preserve"> and the subgrantees (in case of financial regime of reimbursement of costs)</w:t>
      </w:r>
      <w:r w:rsidRPr="00584C6F">
        <w:rPr>
          <w:rFonts w:ascii="Century Gothic" w:eastAsiaTheme="minorHAnsi" w:hAnsi="Century Gothic" w:cstheme="minorBidi"/>
          <w:sz w:val="22"/>
          <w:szCs w:val="22"/>
          <w:lang w:val="en-US"/>
        </w:rPr>
        <w:t>;</w:t>
      </w:r>
    </w:p>
    <w:p w14:paraId="2442A1DF" w14:textId="0406D44F" w:rsidR="004A0311" w:rsidRPr="00584C6F" w:rsidRDefault="004A0311" w:rsidP="00584C6F">
      <w:pPr>
        <w:pStyle w:val="ListDash"/>
        <w:numPr>
          <w:ilvl w:val="0"/>
          <w:numId w:val="22"/>
        </w:numPr>
        <w:spacing w:after="100"/>
        <w:ind w:left="426" w:hanging="284"/>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 xml:space="preserve">The Beneficiary </w:t>
      </w:r>
      <w:r w:rsidR="00584C6F">
        <w:rPr>
          <w:rFonts w:ascii="Century Gothic" w:eastAsiaTheme="minorHAnsi" w:hAnsi="Century Gothic" w:cstheme="minorBidi"/>
          <w:sz w:val="22"/>
          <w:szCs w:val="22"/>
          <w:lang w:val="en-US"/>
        </w:rPr>
        <w:t xml:space="preserve">and subgrantees </w:t>
      </w:r>
      <w:r w:rsidRPr="00584C6F">
        <w:rPr>
          <w:rFonts w:ascii="Century Gothic" w:eastAsiaTheme="minorHAnsi" w:hAnsi="Century Gothic" w:cstheme="minorBidi"/>
          <w:sz w:val="22"/>
          <w:szCs w:val="22"/>
          <w:lang w:val="en-US"/>
        </w:rPr>
        <w:t xml:space="preserve">will allow any external auditor to carry out verifications on the basis of supporting documents for the accounts, accounting documents and any other document relevant to the financing of the project. The Beneficiary </w:t>
      </w:r>
      <w:r w:rsidR="00584C6F">
        <w:rPr>
          <w:rFonts w:ascii="Century Gothic" w:eastAsiaTheme="minorHAnsi" w:hAnsi="Century Gothic" w:cstheme="minorBidi"/>
          <w:sz w:val="22"/>
          <w:szCs w:val="22"/>
          <w:lang w:val="en-US"/>
        </w:rPr>
        <w:t xml:space="preserve">and subgrantees </w:t>
      </w:r>
      <w:r w:rsidRPr="00584C6F">
        <w:rPr>
          <w:rFonts w:ascii="Century Gothic" w:eastAsiaTheme="minorHAnsi" w:hAnsi="Century Gothic" w:cstheme="minorBidi"/>
          <w:sz w:val="22"/>
          <w:szCs w:val="22"/>
          <w:lang w:val="en-US"/>
        </w:rPr>
        <w:t xml:space="preserve">gives access to all documents and databases concerning the technical and financial management of the </w:t>
      </w:r>
      <w:r w:rsidR="00584C6F">
        <w:rPr>
          <w:rFonts w:ascii="Century Gothic" w:eastAsiaTheme="minorHAnsi" w:hAnsi="Century Gothic" w:cstheme="minorBidi"/>
          <w:sz w:val="22"/>
          <w:szCs w:val="22"/>
          <w:lang w:val="en-US"/>
        </w:rPr>
        <w:t>project</w:t>
      </w:r>
      <w:r w:rsidRPr="00584C6F">
        <w:rPr>
          <w:rFonts w:ascii="Century Gothic" w:eastAsiaTheme="minorHAnsi" w:hAnsi="Century Gothic" w:cstheme="minorBidi"/>
          <w:sz w:val="22"/>
          <w:szCs w:val="22"/>
          <w:lang w:val="en-US"/>
        </w:rPr>
        <w:t>;</w:t>
      </w:r>
    </w:p>
    <w:p w14:paraId="1FF708BE" w14:textId="0C205F59" w:rsidR="004A0311" w:rsidRPr="00584C6F" w:rsidRDefault="004A0311" w:rsidP="004A0311">
      <w:pPr>
        <w:pStyle w:val="ListDash"/>
        <w:numPr>
          <w:ilvl w:val="0"/>
          <w:numId w:val="22"/>
        </w:numPr>
        <w:spacing w:after="120"/>
        <w:ind w:left="426" w:hanging="284"/>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Moreover, for the purpose of the procedures listed in control checklist, records, accounting and supporting documents:</w:t>
      </w:r>
    </w:p>
    <w:p w14:paraId="3F37BF99" w14:textId="21C22365" w:rsidR="004A0311" w:rsidRPr="00584C6F" w:rsidRDefault="004A0311" w:rsidP="00584C6F">
      <w:pPr>
        <w:pStyle w:val="ListDash"/>
        <w:numPr>
          <w:ilvl w:val="0"/>
          <w:numId w:val="24"/>
        </w:numPr>
        <w:spacing w:after="80"/>
        <w:ind w:left="714" w:hanging="357"/>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shall be easily accessible and filed so as to facilitate their examination;</w:t>
      </w:r>
    </w:p>
    <w:p w14:paraId="09714D8B" w14:textId="5EE884E0" w:rsidR="004A0311" w:rsidRPr="00584C6F" w:rsidRDefault="004A0311" w:rsidP="00584C6F">
      <w:pPr>
        <w:pStyle w:val="ListDash"/>
        <w:numPr>
          <w:ilvl w:val="0"/>
          <w:numId w:val="24"/>
        </w:numPr>
        <w:spacing w:after="80"/>
        <w:ind w:left="714" w:hanging="357"/>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shall be available in the original form</w:t>
      </w:r>
      <w:r w:rsidRPr="00584C6F">
        <w:rPr>
          <w:rStyle w:val="Refernciadenotaapeudepgina"/>
          <w:rFonts w:ascii="Century Gothic" w:eastAsiaTheme="minorHAnsi" w:hAnsi="Century Gothic" w:cstheme="minorBidi"/>
          <w:sz w:val="22"/>
          <w:szCs w:val="22"/>
          <w:lang w:val="en-US"/>
        </w:rPr>
        <w:footnoteReference w:id="4"/>
      </w:r>
      <w:r w:rsidRPr="00584C6F">
        <w:rPr>
          <w:rFonts w:ascii="Century Gothic" w:eastAsiaTheme="minorHAnsi" w:hAnsi="Century Gothic" w:cstheme="minorBidi"/>
          <w:sz w:val="22"/>
          <w:szCs w:val="22"/>
          <w:lang w:val="en-US"/>
        </w:rPr>
        <w:t xml:space="preserve"> or in the form of copies, including in electronic form.</w:t>
      </w:r>
    </w:p>
    <w:p w14:paraId="5AB8883D" w14:textId="4C2AE56D" w:rsidR="004A0311" w:rsidRPr="00584C6F" w:rsidRDefault="004A0311" w:rsidP="00584C6F">
      <w:pPr>
        <w:pStyle w:val="ListDash"/>
        <w:numPr>
          <w:ilvl w:val="0"/>
          <w:numId w:val="24"/>
        </w:numPr>
        <w:spacing w:after="80"/>
        <w:ind w:left="714" w:hanging="357"/>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records and accounting and supporting documents should be available in documentary form, whether paper, electronic or other medium (e.g. a written record of a meeting is more reliable than an oral presentation of the matters discussed). Electronic documents can be accepted only where:</w:t>
      </w:r>
    </w:p>
    <w:p w14:paraId="744F7595" w14:textId="51F3278C" w:rsidR="004A0311" w:rsidRPr="00584C6F" w:rsidRDefault="004A0311" w:rsidP="00584C6F">
      <w:pPr>
        <w:pStyle w:val="ListDash"/>
        <w:numPr>
          <w:ilvl w:val="0"/>
          <w:numId w:val="24"/>
        </w:numPr>
        <w:spacing w:after="80"/>
        <w:ind w:left="1276" w:hanging="283"/>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the documentation was first received or created (e.g. an order form or confirmation) by the Beneficiary</w:t>
      </w:r>
      <w:r w:rsidR="00584C6F">
        <w:rPr>
          <w:rFonts w:ascii="Century Gothic" w:eastAsiaTheme="minorHAnsi" w:hAnsi="Century Gothic" w:cstheme="minorBidi"/>
          <w:sz w:val="22"/>
          <w:szCs w:val="22"/>
          <w:lang w:val="en-US"/>
        </w:rPr>
        <w:t xml:space="preserve"> and subgrantees</w:t>
      </w:r>
      <w:r w:rsidRPr="00584C6F">
        <w:rPr>
          <w:rFonts w:ascii="Century Gothic" w:eastAsiaTheme="minorHAnsi" w:hAnsi="Century Gothic" w:cstheme="minorBidi"/>
          <w:sz w:val="22"/>
          <w:szCs w:val="22"/>
          <w:lang w:val="en-US"/>
        </w:rPr>
        <w:t xml:space="preserve"> in electronic form; or</w:t>
      </w:r>
    </w:p>
    <w:p w14:paraId="275EC4C6" w14:textId="6CCC6D94" w:rsidR="004A0311" w:rsidRPr="00584C6F" w:rsidRDefault="004A0311" w:rsidP="00584C6F">
      <w:pPr>
        <w:pStyle w:val="ListDash"/>
        <w:numPr>
          <w:ilvl w:val="0"/>
          <w:numId w:val="24"/>
        </w:numPr>
        <w:spacing w:after="80"/>
        <w:ind w:left="1276" w:hanging="283"/>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 xml:space="preserve">the Auditor is satisfied that the Beneficiary </w:t>
      </w:r>
      <w:r w:rsidR="00584C6F">
        <w:rPr>
          <w:rFonts w:ascii="Century Gothic" w:eastAsiaTheme="minorHAnsi" w:hAnsi="Century Gothic" w:cstheme="minorBidi"/>
          <w:sz w:val="22"/>
          <w:szCs w:val="22"/>
          <w:lang w:val="en-US"/>
        </w:rPr>
        <w:t xml:space="preserve">and subgrantees </w:t>
      </w:r>
      <w:r w:rsidRPr="00584C6F">
        <w:rPr>
          <w:rFonts w:ascii="Century Gothic" w:eastAsiaTheme="minorHAnsi" w:hAnsi="Century Gothic" w:cstheme="minorBidi"/>
          <w:sz w:val="22"/>
          <w:szCs w:val="22"/>
          <w:lang w:val="en-US"/>
        </w:rPr>
        <w:t>use an electronic archiving system which meets established standards (e.g. a system which complies with national law).</w:t>
      </w:r>
    </w:p>
    <w:p w14:paraId="79AFAC47" w14:textId="77777777" w:rsidR="004A0311" w:rsidRPr="00584C6F" w:rsidRDefault="004A0311" w:rsidP="00584C6F">
      <w:pPr>
        <w:pStyle w:val="ListDash"/>
        <w:numPr>
          <w:ilvl w:val="0"/>
          <w:numId w:val="24"/>
        </w:numPr>
        <w:spacing w:after="80"/>
        <w:ind w:left="714" w:hanging="357"/>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should preferably be obtained from independent sources outside the entity (an original supplier’s invoice or contract is more reliable than an internally approved receipt note);</w:t>
      </w:r>
    </w:p>
    <w:p w14:paraId="63712384" w14:textId="77777777" w:rsidR="004A0311" w:rsidRPr="00584C6F" w:rsidRDefault="004A0311" w:rsidP="00584C6F">
      <w:pPr>
        <w:pStyle w:val="ListDash"/>
        <w:numPr>
          <w:ilvl w:val="0"/>
          <w:numId w:val="24"/>
        </w:numPr>
        <w:spacing w:after="80"/>
        <w:ind w:left="714" w:hanging="357"/>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which is generated internally is more reliable if it has been subject to control and approval;</w:t>
      </w:r>
    </w:p>
    <w:p w14:paraId="066C6562" w14:textId="556D773C" w:rsidR="004A0311" w:rsidRPr="00584C6F" w:rsidRDefault="004A0311" w:rsidP="00584C6F">
      <w:pPr>
        <w:pStyle w:val="ListDash"/>
        <w:numPr>
          <w:ilvl w:val="0"/>
          <w:numId w:val="24"/>
        </w:numPr>
        <w:spacing w:after="80"/>
        <w:ind w:left="714" w:hanging="357"/>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obtained directly by the Auditor (e.g. inspection of assets</w:t>
      </w:r>
      <w:r w:rsidRPr="00584C6F">
        <w:rPr>
          <w:rStyle w:val="Refernciadenotaapeudepgina"/>
          <w:rFonts w:ascii="Century Gothic" w:eastAsiaTheme="minorHAnsi" w:hAnsi="Century Gothic" w:cstheme="minorBidi"/>
          <w:sz w:val="22"/>
          <w:szCs w:val="22"/>
          <w:lang w:val="en-US"/>
        </w:rPr>
        <w:footnoteReference w:id="5"/>
      </w:r>
      <w:r w:rsidRPr="00584C6F">
        <w:rPr>
          <w:rFonts w:ascii="Century Gothic" w:eastAsiaTheme="minorHAnsi" w:hAnsi="Century Gothic" w:cstheme="minorBidi"/>
          <w:sz w:val="22"/>
          <w:szCs w:val="22"/>
          <w:lang w:val="en-US"/>
        </w:rPr>
        <w:t>) is more reliable than evidence obtained indirectly (e.g. inquiry about the asset).</w:t>
      </w:r>
    </w:p>
    <w:p w14:paraId="061329CC" w14:textId="3C79BBED" w:rsidR="00CC1EBC" w:rsidRPr="00584C6F" w:rsidRDefault="004A0311" w:rsidP="004A0311">
      <w:pPr>
        <w:pStyle w:val="ListDash"/>
        <w:numPr>
          <w:ilvl w:val="0"/>
          <w:numId w:val="24"/>
        </w:numPr>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If the Auditor finds that the above criteria for evidence are not sufficiently met, he/she should detail this in the factual findings.</w:t>
      </w:r>
    </w:p>
    <w:p w14:paraId="25DB9856" w14:textId="022066A6" w:rsidR="008667AD" w:rsidRPr="00311890" w:rsidRDefault="00311890" w:rsidP="00584C6F">
      <w:pPr>
        <w:pStyle w:val="ListDash"/>
        <w:numPr>
          <w:ilvl w:val="1"/>
          <w:numId w:val="8"/>
        </w:numPr>
        <w:ind w:left="567" w:hanging="567"/>
        <w:rPr>
          <w:rFonts w:ascii="Century Gothic" w:eastAsiaTheme="minorHAnsi" w:hAnsi="Century Gothic" w:cstheme="minorBidi"/>
          <w:b/>
          <w:sz w:val="22"/>
          <w:szCs w:val="24"/>
          <w:lang w:val="en-GB"/>
        </w:rPr>
      </w:pPr>
      <w:r w:rsidRPr="00311890">
        <w:rPr>
          <w:rFonts w:ascii="Century Gothic" w:eastAsiaTheme="minorHAnsi" w:hAnsi="Century Gothic" w:cstheme="minorBidi"/>
          <w:b/>
          <w:sz w:val="22"/>
          <w:szCs w:val="24"/>
          <w:lang w:val="en-GB"/>
        </w:rPr>
        <w:t>Verification coverage of expenditure and selection of expenditure items</w:t>
      </w:r>
    </w:p>
    <w:p w14:paraId="746FE771" w14:textId="3A6C012B" w:rsidR="008667AD" w:rsidRPr="00584C6F" w:rsidRDefault="008667AD" w:rsidP="00584C6F">
      <w:pPr>
        <w:pStyle w:val="ListDash"/>
        <w:numPr>
          <w:ilvl w:val="0"/>
          <w:numId w:val="0"/>
        </w:numPr>
        <w:spacing w:after="200"/>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The Auditor applies the principles and criteria set out below when planning and performing the specific verification procedures for selected expenditure.</w:t>
      </w:r>
      <w:r w:rsidR="00311890" w:rsidRPr="00584C6F">
        <w:rPr>
          <w:rFonts w:ascii="Century Gothic" w:eastAsiaTheme="minorHAnsi" w:hAnsi="Century Gothic" w:cstheme="minorBidi"/>
          <w:sz w:val="22"/>
          <w:szCs w:val="22"/>
          <w:lang w:val="en-US"/>
        </w:rPr>
        <w:t xml:space="preserve"> Value should be the principal factor used by the Auditor to select expenditure items or classes of expenditure items for verification. The Auditor selects high-value expenditure items to ensure an appropriate coverage of expenditure.</w:t>
      </w:r>
    </w:p>
    <w:p w14:paraId="040ECFD8" w14:textId="77777777" w:rsidR="008667AD" w:rsidRPr="00584C6F" w:rsidRDefault="008667AD" w:rsidP="00584C6F">
      <w:pPr>
        <w:pStyle w:val="ListDash"/>
        <w:numPr>
          <w:ilvl w:val="0"/>
          <w:numId w:val="0"/>
        </w:numPr>
        <w:spacing w:after="200"/>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 xml:space="preserve">Verification by the Auditor and verification coverage of expenditure items does not necessarily mean a complete and exhaustive verification of </w:t>
      </w:r>
      <w:r w:rsidRPr="00584C6F">
        <w:rPr>
          <w:rFonts w:ascii="Century Gothic" w:eastAsiaTheme="minorHAnsi" w:hAnsi="Century Gothic" w:cstheme="minorBidi"/>
          <w:sz w:val="22"/>
          <w:szCs w:val="22"/>
          <w:u w:val="single"/>
          <w:lang w:val="en-US"/>
        </w:rPr>
        <w:t>all</w:t>
      </w:r>
      <w:r w:rsidRPr="00584C6F">
        <w:rPr>
          <w:rFonts w:ascii="Century Gothic" w:eastAsiaTheme="minorHAnsi" w:hAnsi="Century Gothic" w:cstheme="minorBidi"/>
          <w:sz w:val="22"/>
          <w:szCs w:val="22"/>
          <w:lang w:val="en-US"/>
        </w:rPr>
        <w:t xml:space="preserve"> the expenditure items that are included in a specific expenditure heading or subheading. The Auditor should </w:t>
      </w:r>
      <w:r w:rsidRPr="00584C6F">
        <w:rPr>
          <w:rFonts w:ascii="Century Gothic" w:eastAsiaTheme="minorHAnsi" w:hAnsi="Century Gothic" w:cstheme="minorBidi"/>
          <w:sz w:val="22"/>
          <w:szCs w:val="22"/>
          <w:lang w:val="en-US"/>
        </w:rPr>
        <w:lastRenderedPageBreak/>
        <w:t>ensure a systematic and representative verification. Depending on certain conditions (see further below) the Auditor may obtain sufficient verification results for an expenditure heading or subheading by looking at a limited number of selected expenditure items.</w:t>
      </w:r>
    </w:p>
    <w:p w14:paraId="47483343" w14:textId="084C2DBF" w:rsidR="008667AD" w:rsidRPr="00584C6F" w:rsidRDefault="008667AD" w:rsidP="00584C6F">
      <w:pPr>
        <w:pStyle w:val="ListDash"/>
        <w:numPr>
          <w:ilvl w:val="0"/>
          <w:numId w:val="0"/>
        </w:numPr>
        <w:spacing w:after="200"/>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The Auditor may apply sampling techniques for the verification of one or more expenditure headings or subheadings of the Financial Report. The Auditor examines whether ‘populations’ (i.e. expenditure subheadings or classes of expenditure items within expenditure subheadings) are suitable and sufficiently large (i.e. are made up of large numbers of items) for effective sampling.</w:t>
      </w:r>
    </w:p>
    <w:p w14:paraId="37E3681C" w14:textId="77777777" w:rsidR="008667AD" w:rsidRPr="00584C6F" w:rsidRDefault="008667AD" w:rsidP="00584C6F">
      <w:pPr>
        <w:pStyle w:val="ListDash"/>
        <w:numPr>
          <w:ilvl w:val="0"/>
          <w:numId w:val="0"/>
        </w:numPr>
        <w:spacing w:after="200"/>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If applicable the Auditor should explain in the report of factual findings for which headings or subheadings of the Financial Report sampling has been applied, the method used, the results obtained and whether the sample is representative.</w:t>
      </w:r>
    </w:p>
    <w:p w14:paraId="2A1DBAB0" w14:textId="716C031E" w:rsidR="008667AD" w:rsidRPr="00584C6F" w:rsidRDefault="008667AD" w:rsidP="00584C6F">
      <w:pPr>
        <w:pStyle w:val="ListDash"/>
        <w:numPr>
          <w:ilvl w:val="0"/>
          <w:numId w:val="0"/>
        </w:numPr>
        <w:spacing w:after="200"/>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 xml:space="preserve">The Expenditure Coverage Ratio (‘ECR’) is the total amount of expenditure verified by the Auditor, expressed as a percentage of the total amount of expenditure reported by the </w:t>
      </w:r>
      <w:r w:rsidR="00311890" w:rsidRPr="00584C6F">
        <w:rPr>
          <w:rFonts w:ascii="Century Gothic" w:eastAsiaTheme="minorHAnsi" w:hAnsi="Century Gothic" w:cstheme="minorBidi"/>
          <w:sz w:val="22"/>
          <w:szCs w:val="22"/>
          <w:lang w:val="en-US"/>
        </w:rPr>
        <w:t>Beneficiary</w:t>
      </w:r>
      <w:r w:rsidRPr="00584C6F">
        <w:rPr>
          <w:rFonts w:ascii="Century Gothic" w:eastAsiaTheme="minorHAnsi" w:hAnsi="Century Gothic" w:cstheme="minorBidi"/>
          <w:sz w:val="22"/>
          <w:szCs w:val="22"/>
          <w:lang w:val="en-US"/>
        </w:rPr>
        <w:t xml:space="preserve"> in the Financial Report.</w:t>
      </w:r>
    </w:p>
    <w:p w14:paraId="518FB479" w14:textId="77777777" w:rsidR="008667AD" w:rsidRPr="00584C6F" w:rsidRDefault="008667AD" w:rsidP="00584C6F">
      <w:pPr>
        <w:pStyle w:val="ListDash"/>
        <w:numPr>
          <w:ilvl w:val="0"/>
          <w:numId w:val="0"/>
        </w:numPr>
        <w:spacing w:after="200"/>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 xml:space="preserve">The Auditor ensures that the overall ECR is at least 65 %. If he/she finds an exception rate of less than 10 % of the total amount of expenditure verified (i.e. 6.5 %) the Auditor </w:t>
      </w:r>
      <w:proofErr w:type="spellStart"/>
      <w:r w:rsidRPr="00584C6F">
        <w:rPr>
          <w:rFonts w:ascii="Century Gothic" w:eastAsiaTheme="minorHAnsi" w:hAnsi="Century Gothic" w:cstheme="minorBidi"/>
          <w:sz w:val="22"/>
          <w:szCs w:val="22"/>
          <w:lang w:val="en-US"/>
        </w:rPr>
        <w:t>finalises</w:t>
      </w:r>
      <w:proofErr w:type="spellEnd"/>
      <w:r w:rsidRPr="00584C6F">
        <w:rPr>
          <w:rFonts w:ascii="Century Gothic" w:eastAsiaTheme="minorHAnsi" w:hAnsi="Century Gothic" w:cstheme="minorBidi"/>
          <w:sz w:val="22"/>
          <w:szCs w:val="22"/>
          <w:lang w:val="en-US"/>
        </w:rPr>
        <w:t xml:space="preserve"> the verification procedures and continues with reporting.</w:t>
      </w:r>
    </w:p>
    <w:p w14:paraId="252B4B97" w14:textId="388CA88D" w:rsidR="008667AD" w:rsidRPr="00584C6F" w:rsidRDefault="008667AD" w:rsidP="00311890">
      <w:pPr>
        <w:pStyle w:val="ListDash"/>
        <w:numPr>
          <w:ilvl w:val="0"/>
          <w:numId w:val="0"/>
        </w:numPr>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 xml:space="preserve">If the exception rate found is higher than 10 % the Auditor extends verification procedures until the ECR is at least 85 %. The Auditor then </w:t>
      </w:r>
      <w:proofErr w:type="spellStart"/>
      <w:r w:rsidRPr="00584C6F">
        <w:rPr>
          <w:rFonts w:ascii="Century Gothic" w:eastAsiaTheme="minorHAnsi" w:hAnsi="Century Gothic" w:cstheme="minorBidi"/>
          <w:sz w:val="22"/>
          <w:szCs w:val="22"/>
          <w:lang w:val="en-US"/>
        </w:rPr>
        <w:t>finalises</w:t>
      </w:r>
      <w:proofErr w:type="spellEnd"/>
      <w:r w:rsidRPr="00584C6F">
        <w:rPr>
          <w:rFonts w:ascii="Century Gothic" w:eastAsiaTheme="minorHAnsi" w:hAnsi="Century Gothic" w:cstheme="minorBidi"/>
          <w:sz w:val="22"/>
          <w:szCs w:val="22"/>
          <w:lang w:val="en-US"/>
        </w:rPr>
        <w:t xml:space="preserve"> verification procedures and continues with reporting regardless of the total exception rate found. The Auditor ensures that the ECR for each expenditure heading and subheading in the Financial Report is at least 10 %.</w:t>
      </w:r>
    </w:p>
    <w:p w14:paraId="072B071D" w14:textId="72677727" w:rsidR="00311890" w:rsidRPr="00311890" w:rsidRDefault="00311890" w:rsidP="00584C6F">
      <w:pPr>
        <w:pStyle w:val="ListDash"/>
        <w:numPr>
          <w:ilvl w:val="1"/>
          <w:numId w:val="8"/>
        </w:numPr>
        <w:ind w:left="567" w:hanging="567"/>
        <w:rPr>
          <w:rFonts w:ascii="Century Gothic" w:eastAsiaTheme="minorHAnsi" w:hAnsi="Century Gothic" w:cstheme="minorBidi"/>
          <w:b/>
          <w:sz w:val="22"/>
          <w:szCs w:val="24"/>
          <w:lang w:val="en-GB"/>
        </w:rPr>
      </w:pPr>
      <w:r w:rsidRPr="00311890">
        <w:rPr>
          <w:rFonts w:ascii="Century Gothic" w:eastAsiaTheme="minorHAnsi" w:hAnsi="Century Gothic" w:cstheme="minorBidi"/>
          <w:b/>
          <w:sz w:val="22"/>
          <w:szCs w:val="24"/>
          <w:lang w:val="en-GB"/>
        </w:rPr>
        <w:t>Findings</w:t>
      </w:r>
    </w:p>
    <w:p w14:paraId="700D2813" w14:textId="50F69486" w:rsidR="00311890" w:rsidRPr="00584C6F" w:rsidRDefault="00311890" w:rsidP="00584C6F">
      <w:pPr>
        <w:pStyle w:val="ListDash"/>
        <w:numPr>
          <w:ilvl w:val="0"/>
          <w:numId w:val="0"/>
        </w:numPr>
        <w:spacing w:after="200"/>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The Auditor verifies the selected expenditure items by carrying out procedures listed in the control checklist and reports all the factual findings and exceptions resulting from these procedures. Verification exceptions are all verification deviations found when performing the procedures.</w:t>
      </w:r>
    </w:p>
    <w:p w14:paraId="46BD00E9" w14:textId="7961A97B" w:rsidR="00311890" w:rsidRPr="00584C6F" w:rsidRDefault="00311890" w:rsidP="00584C6F">
      <w:pPr>
        <w:pStyle w:val="ListDash"/>
        <w:numPr>
          <w:ilvl w:val="0"/>
          <w:numId w:val="0"/>
        </w:numPr>
        <w:spacing w:after="200"/>
        <w:rPr>
          <w:rFonts w:ascii="Century Gothic" w:eastAsiaTheme="minorHAnsi" w:hAnsi="Century Gothic" w:cstheme="minorBidi"/>
          <w:sz w:val="22"/>
          <w:szCs w:val="22"/>
          <w:lang w:val="en-US"/>
        </w:rPr>
      </w:pPr>
      <w:r w:rsidRPr="00584C6F">
        <w:rPr>
          <w:rFonts w:ascii="Century Gothic" w:eastAsiaTheme="minorHAnsi" w:hAnsi="Century Gothic" w:cstheme="minorBidi"/>
          <w:sz w:val="22"/>
          <w:szCs w:val="22"/>
          <w:lang w:val="en-US"/>
        </w:rPr>
        <w:t>The Auditor quantifies the amount of verification exceptions found and the potential impact on the EU contribution, should the Managing Authority declare the expenditure item(s) concerned ineligible (taking into account the percentage of funding by the Commission and the impact on indirect expenditure (e.g. administrative costs, overheads)). The Auditor reports all exceptions found, including those for which he/she cannot quantify the amount of the verification exception found and the potential impact on the EU contribution.</w:t>
      </w:r>
    </w:p>
    <w:sectPr w:rsidR="00311890" w:rsidRPr="00584C6F" w:rsidSect="00633B53">
      <w:pgSz w:w="11900" w:h="16840"/>
      <w:pgMar w:top="1440" w:right="1440" w:bottom="1508" w:left="1440" w:header="68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91A8E" w14:textId="77777777" w:rsidR="00A770E6" w:rsidRDefault="00A770E6" w:rsidP="002D5A83">
      <w:r>
        <w:separator/>
      </w:r>
    </w:p>
  </w:endnote>
  <w:endnote w:type="continuationSeparator" w:id="0">
    <w:p w14:paraId="79A0C441" w14:textId="77777777" w:rsidR="00A770E6" w:rsidRDefault="00A770E6"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1841F" w14:textId="77777777" w:rsidR="00A770E6" w:rsidRDefault="00A770E6" w:rsidP="002D5A83">
      <w:r>
        <w:separator/>
      </w:r>
    </w:p>
  </w:footnote>
  <w:footnote w:type="continuationSeparator" w:id="0">
    <w:p w14:paraId="49BB1FDB" w14:textId="77777777" w:rsidR="00A770E6" w:rsidRDefault="00A770E6" w:rsidP="002D5A83">
      <w:r>
        <w:continuationSeparator/>
      </w:r>
    </w:p>
  </w:footnote>
  <w:footnote w:id="1">
    <w:p w14:paraId="7E5E6A08" w14:textId="22D420A5" w:rsidR="00633B53" w:rsidRPr="00633B53" w:rsidRDefault="00633B53">
      <w:pPr>
        <w:pStyle w:val="Textdenotaapeudepgina"/>
        <w:rPr>
          <w:lang w:val="en-US"/>
        </w:rPr>
      </w:pPr>
      <w:r>
        <w:rPr>
          <w:rStyle w:val="Refernciadenotaapeudepgina"/>
        </w:rPr>
        <w:footnoteRef/>
      </w:r>
      <w:r w:rsidRPr="00633B53">
        <w:rPr>
          <w:lang w:val="en-US"/>
        </w:rPr>
        <w:t xml:space="preserve"> </w:t>
      </w:r>
      <w:r>
        <w:rPr>
          <w:lang w:val="en-US"/>
        </w:rPr>
        <w:t>See paragraph above on the non-applicability to subgrants</w:t>
      </w:r>
    </w:p>
  </w:footnote>
  <w:footnote w:id="2">
    <w:p w14:paraId="2FC17A98" w14:textId="38D4109E" w:rsidR="00633B53" w:rsidRPr="00633B53" w:rsidRDefault="00633B53">
      <w:pPr>
        <w:pStyle w:val="Textdenotaapeudepgina"/>
        <w:rPr>
          <w:lang w:val="en-US"/>
        </w:rPr>
      </w:pPr>
      <w:r>
        <w:rPr>
          <w:rStyle w:val="Refernciadenotaapeudepgina"/>
        </w:rPr>
        <w:footnoteRef/>
      </w:r>
      <w:r w:rsidRPr="00633B53">
        <w:rPr>
          <w:lang w:val="en-US"/>
        </w:rPr>
        <w:t xml:space="preserve"> </w:t>
      </w:r>
      <w:r>
        <w:rPr>
          <w:lang w:val="en-US"/>
        </w:rPr>
        <w:t>Only in the case of subgrants under the financial regime of reimbursement of costs</w:t>
      </w:r>
    </w:p>
  </w:footnote>
  <w:footnote w:id="3">
    <w:p w14:paraId="2F68DAB9" w14:textId="26EB1AE8" w:rsidR="000D282A" w:rsidRPr="000D282A" w:rsidRDefault="000D282A">
      <w:pPr>
        <w:pStyle w:val="Textdenotaapeudepgina"/>
        <w:rPr>
          <w:lang w:val="ca-ES"/>
        </w:rPr>
      </w:pPr>
      <w:r>
        <w:rPr>
          <w:rStyle w:val="Refernciadenotaapeudepgina"/>
        </w:rPr>
        <w:footnoteRef/>
      </w:r>
      <w:r w:rsidRPr="000D282A">
        <w:rPr>
          <w:lang w:val="en-US"/>
        </w:rPr>
        <w:t xml:space="preserve"> </w:t>
      </w:r>
      <w:r w:rsidRPr="000D282A">
        <w:rPr>
          <w:rFonts w:ascii="Century Gothic" w:hAnsi="Century Gothic"/>
          <w:sz w:val="18"/>
          <w:lang w:val="en-GB"/>
        </w:rPr>
        <w:t>In accordance with the conditions of</w:t>
      </w:r>
      <w:r>
        <w:rPr>
          <w:rFonts w:ascii="Century Gothic" w:hAnsi="Century Gothic"/>
          <w:sz w:val="18"/>
          <w:lang w:val="en-GB"/>
        </w:rPr>
        <w:t xml:space="preserve"> article 122 of the Financial Regulation (Regulation 966/2012)</w:t>
      </w:r>
    </w:p>
  </w:footnote>
  <w:footnote w:id="4">
    <w:p w14:paraId="193E5E9E" w14:textId="063C1D58" w:rsidR="004A0311" w:rsidRPr="004A0311" w:rsidRDefault="004A0311" w:rsidP="004A0311">
      <w:pPr>
        <w:pStyle w:val="Textdenotaapeudepgina"/>
        <w:ind w:left="284" w:hanging="284"/>
        <w:rPr>
          <w:lang w:val="ca-ES"/>
        </w:rPr>
      </w:pPr>
      <w:r>
        <w:rPr>
          <w:rStyle w:val="Refernciadenotaapeudepgina"/>
        </w:rPr>
        <w:footnoteRef/>
      </w:r>
      <w:r w:rsidRPr="004A0311">
        <w:rPr>
          <w:lang w:val="en-US"/>
        </w:rPr>
        <w:t xml:space="preserve"> </w:t>
      </w:r>
      <w:r w:rsidR="00DA55FD">
        <w:rPr>
          <w:lang w:val="en-US"/>
        </w:rPr>
        <w:tab/>
      </w:r>
      <w:r w:rsidRPr="004A0311">
        <w:rPr>
          <w:rFonts w:ascii="Century Gothic" w:hAnsi="Century Gothic"/>
          <w:sz w:val="18"/>
          <w:lang w:val="en-GB"/>
        </w:rPr>
        <w:t>The auditor shall check the originals at least once in the lifetime of the project</w:t>
      </w:r>
    </w:p>
  </w:footnote>
  <w:footnote w:id="5">
    <w:p w14:paraId="63842A77" w14:textId="4B3E646D" w:rsidR="004A0311" w:rsidRPr="004A0311" w:rsidRDefault="004A0311" w:rsidP="004A0311">
      <w:pPr>
        <w:pStyle w:val="Textdenotaapeudepgina"/>
        <w:ind w:left="284" w:hanging="284"/>
        <w:rPr>
          <w:rFonts w:ascii="Century Gothic" w:hAnsi="Century Gothic"/>
          <w:sz w:val="18"/>
          <w:lang w:val="en-GB"/>
        </w:rPr>
      </w:pPr>
      <w:r>
        <w:rPr>
          <w:rStyle w:val="Refernciadenotaapeudepgina"/>
        </w:rPr>
        <w:footnoteRef/>
      </w:r>
      <w:r w:rsidRPr="004A0311">
        <w:rPr>
          <w:lang w:val="en-US"/>
        </w:rPr>
        <w:t xml:space="preserve"> </w:t>
      </w:r>
      <w:r w:rsidR="00DA55FD">
        <w:rPr>
          <w:lang w:val="en-US"/>
        </w:rPr>
        <w:tab/>
      </w:r>
      <w:r w:rsidRPr="004A0311">
        <w:rPr>
          <w:rFonts w:ascii="Century Gothic" w:hAnsi="Century Gothic"/>
          <w:sz w:val="18"/>
          <w:lang w:val="en-GB"/>
        </w:rPr>
        <w:t>The auditor shall do a personal in</w:t>
      </w:r>
      <w:r>
        <w:rPr>
          <w:rFonts w:ascii="Century Gothic" w:hAnsi="Century Gothic"/>
          <w:sz w:val="18"/>
          <w:lang w:val="en-GB"/>
        </w:rPr>
        <w:t>s</w:t>
      </w:r>
      <w:r w:rsidRPr="004A0311">
        <w:rPr>
          <w:rFonts w:ascii="Century Gothic" w:hAnsi="Century Gothic"/>
          <w:sz w:val="18"/>
          <w:lang w:val="en-GB"/>
        </w:rPr>
        <w:t>pection of any assets acquired by the project (e.g. computers or infrastructure), at least once during the lif</w:t>
      </w:r>
      <w:r>
        <w:rPr>
          <w:rFonts w:ascii="Century Gothic" w:hAnsi="Century Gothic"/>
          <w:sz w:val="18"/>
          <w:lang w:val="en-GB"/>
        </w:rPr>
        <w:t>e</w:t>
      </w:r>
      <w:r w:rsidRPr="004A0311">
        <w:rPr>
          <w:rFonts w:ascii="Century Gothic" w:hAnsi="Century Gothic"/>
          <w:sz w:val="18"/>
          <w:lang w:val="en-GB"/>
        </w:rPr>
        <w:t>time of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0490"/>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0B6862"/>
    <w:multiLevelType w:val="multilevel"/>
    <w:tmpl w:val="A8068656"/>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0D3A98"/>
    <w:multiLevelType w:val="multilevel"/>
    <w:tmpl w:val="3F32EAD4"/>
    <w:lvl w:ilvl="0">
      <w:start w:val="2"/>
      <w:numFmt w:val="bullet"/>
      <w:lvlText w:val="-"/>
      <w:lvlJc w:val="left"/>
      <w:pPr>
        <w:ind w:left="720" w:hanging="360"/>
      </w:pPr>
      <w:rPr>
        <w:rFonts w:ascii="Century Gothic" w:eastAsiaTheme="majorEastAsia" w:hAnsi="Century Gothic"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45123F2"/>
    <w:multiLevelType w:val="hybridMultilevel"/>
    <w:tmpl w:val="F1165A90"/>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9A163F3"/>
    <w:multiLevelType w:val="multilevel"/>
    <w:tmpl w:val="C7D23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432656"/>
    <w:multiLevelType w:val="multilevel"/>
    <w:tmpl w:val="0A8CDF4C"/>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567"/>
        </w:tabs>
        <w:ind w:left="1134" w:hanging="1134"/>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1C97"/>
    <w:multiLevelType w:val="hybridMultilevel"/>
    <w:tmpl w:val="15DABDA8"/>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2182B3C"/>
    <w:multiLevelType w:val="hybridMultilevel"/>
    <w:tmpl w:val="0CA0D52E"/>
    <w:lvl w:ilvl="0" w:tplc="7946FABE">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7E65FF1"/>
    <w:multiLevelType w:val="hybridMultilevel"/>
    <w:tmpl w:val="C4801AE4"/>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81F59E9"/>
    <w:multiLevelType w:val="hybridMultilevel"/>
    <w:tmpl w:val="1742884C"/>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15:restartNumberingAfterBreak="0">
    <w:nsid w:val="5DD61EAE"/>
    <w:multiLevelType w:val="hybridMultilevel"/>
    <w:tmpl w:val="485096FA"/>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7" w15:restartNumberingAfterBreak="0">
    <w:nsid w:val="5F9C41B1"/>
    <w:multiLevelType w:val="hybridMultilevel"/>
    <w:tmpl w:val="A84AB8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142724E"/>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79D3826"/>
    <w:multiLevelType w:val="hybridMultilevel"/>
    <w:tmpl w:val="7142851C"/>
    <w:lvl w:ilvl="0" w:tplc="8A80E6B2">
      <w:numFmt w:val="bullet"/>
      <w:lvlText w:val="•"/>
      <w:lvlJc w:val="left"/>
      <w:pPr>
        <w:ind w:left="720" w:hanging="36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abstractNum w:abstractNumId="22"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31939"/>
    <w:multiLevelType w:val="hybridMultilevel"/>
    <w:tmpl w:val="93280E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1"/>
  </w:num>
  <w:num w:numId="4">
    <w:abstractNumId w:val="0"/>
  </w:num>
  <w:num w:numId="5">
    <w:abstractNumId w:val="3"/>
  </w:num>
  <w:num w:numId="6">
    <w:abstractNumId w:val="2"/>
  </w:num>
  <w:num w:numId="7">
    <w:abstractNumId w:val="7"/>
  </w:num>
  <w:num w:numId="8">
    <w:abstractNumId w:val="9"/>
  </w:num>
  <w:num w:numId="9">
    <w:abstractNumId w:val="17"/>
  </w:num>
  <w:num w:numId="10">
    <w:abstractNumId w:val="8"/>
  </w:num>
  <w:num w:numId="11">
    <w:abstractNumId w:val="12"/>
  </w:num>
  <w:num w:numId="12">
    <w:abstractNumId w:val="13"/>
  </w:num>
  <w:num w:numId="13">
    <w:abstractNumId w:val="14"/>
  </w:num>
  <w:num w:numId="14">
    <w:abstractNumId w:val="19"/>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16"/>
  </w:num>
  <w:num w:numId="20">
    <w:abstractNumId w:val="15"/>
  </w:num>
  <w:num w:numId="21">
    <w:abstractNumId w:val="5"/>
  </w:num>
  <w:num w:numId="22">
    <w:abstractNumId w:val="18"/>
  </w:num>
  <w:num w:numId="23">
    <w:abstractNumId w:val="4"/>
  </w:num>
  <w:num w:numId="24">
    <w:abstractNumId w:val="6"/>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83"/>
    <w:rsid w:val="00000167"/>
    <w:rsid w:val="000036BA"/>
    <w:rsid w:val="00020378"/>
    <w:rsid w:val="000275CB"/>
    <w:rsid w:val="00053E43"/>
    <w:rsid w:val="00067F31"/>
    <w:rsid w:val="00091D59"/>
    <w:rsid w:val="0009589C"/>
    <w:rsid w:val="00097822"/>
    <w:rsid w:val="000B5E41"/>
    <w:rsid w:val="000C6AB5"/>
    <w:rsid w:val="000C7939"/>
    <w:rsid w:val="000D282A"/>
    <w:rsid w:val="000D42CE"/>
    <w:rsid w:val="000F2705"/>
    <w:rsid w:val="0010482B"/>
    <w:rsid w:val="0011662B"/>
    <w:rsid w:val="001558EA"/>
    <w:rsid w:val="001627CF"/>
    <w:rsid w:val="00194DA2"/>
    <w:rsid w:val="001B0216"/>
    <w:rsid w:val="001C1BB0"/>
    <w:rsid w:val="001C425B"/>
    <w:rsid w:val="002014D7"/>
    <w:rsid w:val="00217605"/>
    <w:rsid w:val="002264D1"/>
    <w:rsid w:val="0023265E"/>
    <w:rsid w:val="0029077C"/>
    <w:rsid w:val="002C1480"/>
    <w:rsid w:val="002D0495"/>
    <w:rsid w:val="002D5A83"/>
    <w:rsid w:val="00302BA4"/>
    <w:rsid w:val="00311890"/>
    <w:rsid w:val="00314D25"/>
    <w:rsid w:val="003804A3"/>
    <w:rsid w:val="00393852"/>
    <w:rsid w:val="003F05E4"/>
    <w:rsid w:val="003F5289"/>
    <w:rsid w:val="00400497"/>
    <w:rsid w:val="004065DD"/>
    <w:rsid w:val="00421F4F"/>
    <w:rsid w:val="00426BDA"/>
    <w:rsid w:val="00445B67"/>
    <w:rsid w:val="004A0311"/>
    <w:rsid w:val="004D1982"/>
    <w:rsid w:val="00525482"/>
    <w:rsid w:val="005410FB"/>
    <w:rsid w:val="00567BD5"/>
    <w:rsid w:val="00584C6F"/>
    <w:rsid w:val="005B119F"/>
    <w:rsid w:val="005F314A"/>
    <w:rsid w:val="00633B53"/>
    <w:rsid w:val="0064695F"/>
    <w:rsid w:val="006605BF"/>
    <w:rsid w:val="00672CBF"/>
    <w:rsid w:val="00683102"/>
    <w:rsid w:val="006C4BAB"/>
    <w:rsid w:val="006C7824"/>
    <w:rsid w:val="006E4769"/>
    <w:rsid w:val="006E7439"/>
    <w:rsid w:val="00726A64"/>
    <w:rsid w:val="007320CB"/>
    <w:rsid w:val="007434E1"/>
    <w:rsid w:val="0075183E"/>
    <w:rsid w:val="00767547"/>
    <w:rsid w:val="00786D5F"/>
    <w:rsid w:val="007D1F70"/>
    <w:rsid w:val="007D2A29"/>
    <w:rsid w:val="007E6FC6"/>
    <w:rsid w:val="00803339"/>
    <w:rsid w:val="008079EA"/>
    <w:rsid w:val="00835C97"/>
    <w:rsid w:val="00847048"/>
    <w:rsid w:val="008527DA"/>
    <w:rsid w:val="0085679E"/>
    <w:rsid w:val="008667AD"/>
    <w:rsid w:val="00877742"/>
    <w:rsid w:val="00881657"/>
    <w:rsid w:val="008C3250"/>
    <w:rsid w:val="008C6229"/>
    <w:rsid w:val="008D6463"/>
    <w:rsid w:val="00905790"/>
    <w:rsid w:val="009240F6"/>
    <w:rsid w:val="00963FAC"/>
    <w:rsid w:val="009A7A52"/>
    <w:rsid w:val="009B5C1B"/>
    <w:rsid w:val="009E1ACA"/>
    <w:rsid w:val="00A12792"/>
    <w:rsid w:val="00A32EEC"/>
    <w:rsid w:val="00A33329"/>
    <w:rsid w:val="00A34CCE"/>
    <w:rsid w:val="00A34D8E"/>
    <w:rsid w:val="00A417BB"/>
    <w:rsid w:val="00A45E86"/>
    <w:rsid w:val="00A52611"/>
    <w:rsid w:val="00A56461"/>
    <w:rsid w:val="00A770E6"/>
    <w:rsid w:val="00A915BA"/>
    <w:rsid w:val="00AC3512"/>
    <w:rsid w:val="00AE6001"/>
    <w:rsid w:val="00B109A6"/>
    <w:rsid w:val="00B3220C"/>
    <w:rsid w:val="00B47572"/>
    <w:rsid w:val="00B56628"/>
    <w:rsid w:val="00B821CD"/>
    <w:rsid w:val="00B97B46"/>
    <w:rsid w:val="00BB4D87"/>
    <w:rsid w:val="00BD0E38"/>
    <w:rsid w:val="00BD21F1"/>
    <w:rsid w:val="00C06E18"/>
    <w:rsid w:val="00C1278A"/>
    <w:rsid w:val="00C34433"/>
    <w:rsid w:val="00C66DB7"/>
    <w:rsid w:val="00CA54A7"/>
    <w:rsid w:val="00CB6AB6"/>
    <w:rsid w:val="00CC1EBC"/>
    <w:rsid w:val="00CC4DA8"/>
    <w:rsid w:val="00CD6E7A"/>
    <w:rsid w:val="00CE48CF"/>
    <w:rsid w:val="00D02F9C"/>
    <w:rsid w:val="00D045F7"/>
    <w:rsid w:val="00D04BAD"/>
    <w:rsid w:val="00D51727"/>
    <w:rsid w:val="00D561F7"/>
    <w:rsid w:val="00D77A1F"/>
    <w:rsid w:val="00D978A2"/>
    <w:rsid w:val="00D97A8A"/>
    <w:rsid w:val="00DA55FD"/>
    <w:rsid w:val="00DB3014"/>
    <w:rsid w:val="00DC005B"/>
    <w:rsid w:val="00DE5398"/>
    <w:rsid w:val="00E05D32"/>
    <w:rsid w:val="00E25D23"/>
    <w:rsid w:val="00E27174"/>
    <w:rsid w:val="00E457BB"/>
    <w:rsid w:val="00E7200B"/>
    <w:rsid w:val="00E93591"/>
    <w:rsid w:val="00E95069"/>
    <w:rsid w:val="00EC6663"/>
    <w:rsid w:val="00EE02F6"/>
    <w:rsid w:val="00EE2497"/>
    <w:rsid w:val="00EE7377"/>
    <w:rsid w:val="00F46B37"/>
    <w:rsid w:val="00F65A69"/>
    <w:rsid w:val="00F92531"/>
    <w:rsid w:val="00FA1A66"/>
    <w:rsid w:val="00FA7B41"/>
    <w:rsid w:val="00FD72BD"/>
    <w:rsid w:val="00FE50D4"/>
    <w:rsid w:val="00FF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3148AB8"/>
  <w15:docId w15:val="{C635CFE3-65D5-4711-8FA2-5D8BB43D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7C"/>
    <w:rPr>
      <w:rFonts w:ascii="Century Gothic" w:hAnsi="Century Gothic"/>
    </w:rPr>
  </w:style>
  <w:style w:type="paragraph" w:styleId="Ttol1">
    <w:name w:val="heading 1"/>
    <w:basedOn w:val="Normal"/>
    <w:next w:val="Normal"/>
    <w:link w:val="Ttol1Car"/>
    <w:qFormat/>
    <w:rsid w:val="0029077C"/>
    <w:pPr>
      <w:keepNext/>
      <w:keepLines/>
      <w:spacing w:before="240"/>
      <w:outlineLvl w:val="0"/>
    </w:pPr>
    <w:rPr>
      <w:rFonts w:eastAsiaTheme="majorEastAsia" w:cstheme="majorBidi"/>
      <w:color w:val="762870"/>
      <w:sz w:val="32"/>
      <w:szCs w:val="32"/>
    </w:rPr>
  </w:style>
  <w:style w:type="paragraph" w:styleId="Ttol2">
    <w:name w:val="heading 2"/>
    <w:basedOn w:val="Normal"/>
    <w:next w:val="Normal"/>
    <w:link w:val="Ttol2Car"/>
    <w:unhideWhenUsed/>
    <w:qFormat/>
    <w:rsid w:val="0029077C"/>
    <w:pPr>
      <w:keepNext/>
      <w:keepLines/>
      <w:spacing w:before="40"/>
      <w:outlineLvl w:val="1"/>
    </w:pPr>
    <w:rPr>
      <w:rFonts w:eastAsiaTheme="majorEastAsia" w:cstheme="majorBidi"/>
      <w:color w:val="762870"/>
      <w:sz w:val="26"/>
      <w:szCs w:val="26"/>
    </w:rPr>
  </w:style>
  <w:style w:type="paragraph" w:styleId="Ttol3">
    <w:name w:val="heading 3"/>
    <w:basedOn w:val="Normal"/>
    <w:next w:val="Normal"/>
    <w:link w:val="Ttol3Car"/>
    <w:unhideWhenUsed/>
    <w:qFormat/>
    <w:rsid w:val="00D561F7"/>
    <w:pPr>
      <w:keepNext/>
      <w:keepLines/>
      <w:spacing w:before="200"/>
      <w:outlineLvl w:val="2"/>
    </w:pPr>
    <w:rPr>
      <w:rFonts w:eastAsiaTheme="majorEastAsia" w:cstheme="majorBidi"/>
      <w:bCs/>
      <w:color w:val="7030A0"/>
      <w:sz w:val="22"/>
    </w:rPr>
  </w:style>
  <w:style w:type="paragraph" w:styleId="Ttol4">
    <w:name w:val="heading 4"/>
    <w:basedOn w:val="Normal"/>
    <w:next w:val="Normal"/>
    <w:link w:val="Ttol4Car"/>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D5A83"/>
    <w:pPr>
      <w:tabs>
        <w:tab w:val="center" w:pos="4819"/>
        <w:tab w:val="right" w:pos="9638"/>
      </w:tabs>
    </w:pPr>
  </w:style>
  <w:style w:type="character" w:customStyle="1" w:styleId="CapaleraCar">
    <w:name w:val="Capçalera Car"/>
    <w:basedOn w:val="Lletraperdefectedelpargraf"/>
    <w:link w:val="Capalera"/>
    <w:uiPriority w:val="99"/>
    <w:rsid w:val="002D5A83"/>
  </w:style>
  <w:style w:type="paragraph" w:styleId="Peu">
    <w:name w:val="footer"/>
    <w:basedOn w:val="Normal"/>
    <w:link w:val="PeuCar"/>
    <w:uiPriority w:val="99"/>
    <w:unhideWhenUsed/>
    <w:rsid w:val="00CC4DA8"/>
    <w:pPr>
      <w:tabs>
        <w:tab w:val="center" w:pos="4819"/>
        <w:tab w:val="right" w:pos="9638"/>
      </w:tabs>
    </w:pPr>
    <w:rPr>
      <w:color w:val="FFFFFF" w:themeColor="background1"/>
      <w:sz w:val="20"/>
    </w:rPr>
  </w:style>
  <w:style w:type="character" w:customStyle="1" w:styleId="PeuCar">
    <w:name w:val="Peu Car"/>
    <w:basedOn w:val="Lletraperdefectedelpargraf"/>
    <w:link w:val="Peu"/>
    <w:uiPriority w:val="99"/>
    <w:rsid w:val="00CC4DA8"/>
    <w:rPr>
      <w:rFonts w:ascii="Century Gothic" w:hAnsi="Century Gothic"/>
      <w:color w:val="FFFFFF" w:themeColor="background1"/>
      <w:sz w:val="20"/>
    </w:rPr>
  </w:style>
  <w:style w:type="character" w:styleId="Nmerodepgina">
    <w:name w:val="page number"/>
    <w:basedOn w:val="Lletraperdefectedelpargraf"/>
    <w:uiPriority w:val="99"/>
    <w:semiHidden/>
    <w:unhideWhenUsed/>
    <w:rsid w:val="002D5A83"/>
  </w:style>
  <w:style w:type="character" w:customStyle="1" w:styleId="Ttol1Car">
    <w:name w:val="Títol 1 Car"/>
    <w:basedOn w:val="Lletraperdefectedelpargraf"/>
    <w:link w:val="Ttol1"/>
    <w:uiPriority w:val="9"/>
    <w:rsid w:val="0029077C"/>
    <w:rPr>
      <w:rFonts w:ascii="Century Gothic" w:eastAsiaTheme="majorEastAsia" w:hAnsi="Century Gothic" w:cstheme="majorBidi"/>
      <w:color w:val="762870"/>
      <w:sz w:val="32"/>
      <w:szCs w:val="32"/>
    </w:rPr>
  </w:style>
  <w:style w:type="character" w:customStyle="1" w:styleId="Ttol2Car">
    <w:name w:val="Títol 2 Car"/>
    <w:basedOn w:val="Lletraperdefectedelpargraf"/>
    <w:link w:val="Ttol2"/>
    <w:uiPriority w:val="9"/>
    <w:rsid w:val="0029077C"/>
    <w:rPr>
      <w:rFonts w:ascii="Century Gothic" w:eastAsiaTheme="majorEastAsia" w:hAnsi="Century Gothic" w:cstheme="majorBidi"/>
      <w:color w:val="762870"/>
      <w:sz w:val="26"/>
      <w:szCs w:val="26"/>
    </w:rPr>
  </w:style>
  <w:style w:type="paragraph" w:styleId="Ttol">
    <w:name w:val="Title"/>
    <w:basedOn w:val="Normal"/>
    <w:next w:val="Normal"/>
    <w:link w:val="TtolCar"/>
    <w:uiPriority w:val="10"/>
    <w:qFormat/>
    <w:rsid w:val="00BD0E38"/>
    <w:pPr>
      <w:contextualSpacing/>
    </w:pPr>
    <w:rPr>
      <w:rFonts w:eastAsiaTheme="majorEastAsia" w:cstheme="majorBidi"/>
      <w:b/>
      <w:spacing w:val="-10"/>
      <w:kern w:val="28"/>
      <w:sz w:val="56"/>
      <w:szCs w:val="56"/>
    </w:rPr>
  </w:style>
  <w:style w:type="character" w:customStyle="1" w:styleId="TtolCar">
    <w:name w:val="Títol Car"/>
    <w:basedOn w:val="Lletraperdefectedelpargraf"/>
    <w:link w:val="Ttol"/>
    <w:uiPriority w:val="10"/>
    <w:rsid w:val="00BD0E38"/>
    <w:rPr>
      <w:rFonts w:ascii="Century Gothic" w:eastAsiaTheme="majorEastAsia" w:hAnsi="Century Gothic" w:cstheme="majorBidi"/>
      <w:b/>
      <w:spacing w:val="-10"/>
      <w:kern w:val="28"/>
      <w:sz w:val="56"/>
      <w:szCs w:val="56"/>
    </w:rPr>
  </w:style>
  <w:style w:type="paragraph" w:styleId="Subttol">
    <w:name w:val="Subtitle"/>
    <w:basedOn w:val="Normal"/>
    <w:next w:val="Normal"/>
    <w:link w:val="SubttolC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tolCar">
    <w:name w:val="Subtítol Car"/>
    <w:basedOn w:val="Lletraperdefectedelpargraf"/>
    <w:link w:val="Subttol"/>
    <w:uiPriority w:val="11"/>
    <w:rsid w:val="0029077C"/>
    <w:rPr>
      <w:rFonts w:ascii="Century Gothic" w:eastAsiaTheme="minorEastAsia" w:hAnsi="Century Gothic"/>
      <w:color w:val="5A5A5A" w:themeColor="text1" w:themeTint="A5"/>
      <w:spacing w:val="15"/>
      <w:sz w:val="22"/>
      <w:szCs w:val="22"/>
    </w:rPr>
  </w:style>
  <w:style w:type="character" w:styleId="mfasisubtil">
    <w:name w:val="Subtle Emphasis"/>
    <w:basedOn w:val="Lletraperdefectedelpargraf"/>
    <w:uiPriority w:val="19"/>
    <w:qFormat/>
    <w:rsid w:val="0029077C"/>
    <w:rPr>
      <w:rFonts w:ascii="Century Gothic" w:hAnsi="Century Gothic"/>
      <w:i/>
      <w:iCs/>
      <w:color w:val="404040" w:themeColor="text1" w:themeTint="BF"/>
    </w:rPr>
  </w:style>
  <w:style w:type="character" w:styleId="mfasi">
    <w:name w:val="Emphasis"/>
    <w:basedOn w:val="Lletraperdefectedelpargraf"/>
    <w:uiPriority w:val="20"/>
    <w:qFormat/>
    <w:rsid w:val="0029077C"/>
    <w:rPr>
      <w:rFonts w:ascii="Century Gothic" w:hAnsi="Century Gothic"/>
      <w:i/>
      <w:iCs/>
    </w:rPr>
  </w:style>
  <w:style w:type="character" w:styleId="mfasiintens">
    <w:name w:val="Intense Emphasis"/>
    <w:basedOn w:val="Lletraperdefectedelpargraf"/>
    <w:uiPriority w:val="21"/>
    <w:qFormat/>
    <w:rsid w:val="0029077C"/>
    <w:rPr>
      <w:rFonts w:ascii="Century Gothic" w:hAnsi="Century Gothic"/>
      <w:i/>
      <w:iCs/>
      <w:color w:val="762870"/>
    </w:rPr>
  </w:style>
  <w:style w:type="character" w:styleId="Textennegreta">
    <w:name w:val="Strong"/>
    <w:basedOn w:val="Lletraperdefectedelpargraf"/>
    <w:uiPriority w:val="22"/>
    <w:qFormat/>
    <w:rsid w:val="0029077C"/>
    <w:rPr>
      <w:rFonts w:ascii="Century Gothic" w:hAnsi="Century Gothic"/>
      <w:b/>
      <w:bCs/>
    </w:rPr>
  </w:style>
  <w:style w:type="paragraph" w:styleId="Cita">
    <w:name w:val="Quote"/>
    <w:basedOn w:val="Normal"/>
    <w:next w:val="Normal"/>
    <w:link w:val="CitaCar"/>
    <w:uiPriority w:val="29"/>
    <w:qFormat/>
    <w:rsid w:val="0029077C"/>
    <w:pPr>
      <w:spacing w:before="200" w:after="160"/>
      <w:ind w:left="864" w:right="864"/>
      <w:jc w:val="center"/>
    </w:pPr>
    <w:rPr>
      <w:i/>
      <w:iCs/>
      <w:color w:val="404040" w:themeColor="text1" w:themeTint="BF"/>
    </w:rPr>
  </w:style>
  <w:style w:type="character" w:customStyle="1" w:styleId="CitaCar">
    <w:name w:val="Cita Car"/>
    <w:basedOn w:val="Lletraperdefectedelpargraf"/>
    <w:link w:val="Cita"/>
    <w:uiPriority w:val="29"/>
    <w:rsid w:val="0029077C"/>
    <w:rPr>
      <w:rFonts w:ascii="Century Gothic" w:hAnsi="Century Gothic"/>
      <w:i/>
      <w:iCs/>
      <w:color w:val="404040" w:themeColor="text1" w:themeTint="BF"/>
    </w:rPr>
  </w:style>
  <w:style w:type="paragraph" w:styleId="Citaintensa">
    <w:name w:val="Intense Quote"/>
    <w:basedOn w:val="Normal"/>
    <w:next w:val="Normal"/>
    <w:link w:val="CitaintensaC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CitaintensaCar">
    <w:name w:val="Cita intensa Car"/>
    <w:basedOn w:val="Lletraperdefectedelpargraf"/>
    <w:link w:val="Citaintensa"/>
    <w:uiPriority w:val="30"/>
    <w:rsid w:val="0029077C"/>
    <w:rPr>
      <w:rFonts w:ascii="Century Gothic" w:hAnsi="Century Gothic"/>
      <w:i/>
      <w:iCs/>
      <w:color w:val="762870"/>
    </w:rPr>
  </w:style>
  <w:style w:type="character" w:styleId="Refernciasubtil">
    <w:name w:val="Subtle Reference"/>
    <w:basedOn w:val="Lletraperdefectedelpargraf"/>
    <w:uiPriority w:val="31"/>
    <w:qFormat/>
    <w:rsid w:val="0029077C"/>
    <w:rPr>
      <w:rFonts w:ascii="Century Gothic" w:hAnsi="Century Gothic"/>
      <w:smallCaps/>
      <w:color w:val="5A5A5A" w:themeColor="text1" w:themeTint="A5"/>
    </w:rPr>
  </w:style>
  <w:style w:type="character" w:styleId="Refernciaintensa">
    <w:name w:val="Intense Reference"/>
    <w:basedOn w:val="Lletraperdefectedelpargraf"/>
    <w:uiPriority w:val="32"/>
    <w:qFormat/>
    <w:rsid w:val="0029077C"/>
    <w:rPr>
      <w:rFonts w:ascii="Century Gothic" w:hAnsi="Century Gothic"/>
      <w:b/>
      <w:bCs/>
      <w:smallCaps/>
      <w:color w:val="762870"/>
      <w:spacing w:val="5"/>
    </w:rPr>
  </w:style>
  <w:style w:type="character" w:styleId="Ttoldelllibre">
    <w:name w:val="Book Title"/>
    <w:basedOn w:val="Lletraperdefectedelpargraf"/>
    <w:uiPriority w:val="33"/>
    <w:qFormat/>
    <w:rsid w:val="0029077C"/>
    <w:rPr>
      <w:rFonts w:ascii="Century Gothic" w:hAnsi="Century Gothic"/>
      <w:b/>
      <w:bCs/>
      <w:i/>
      <w:iCs/>
      <w:spacing w:val="5"/>
    </w:rPr>
  </w:style>
  <w:style w:type="paragraph" w:styleId="Pargrafdellista">
    <w:name w:val="List Paragraph"/>
    <w:basedOn w:val="Normal"/>
    <w:link w:val="PargrafdellistaCar"/>
    <w:uiPriority w:val="34"/>
    <w:qFormat/>
    <w:rsid w:val="0029077C"/>
    <w:pPr>
      <w:ind w:left="720"/>
      <w:contextualSpacing/>
    </w:pPr>
  </w:style>
  <w:style w:type="paragraph" w:customStyle="1" w:styleId="Style1">
    <w:name w:val="Style1"/>
    <w:basedOn w:val="Data"/>
    <w:qFormat/>
    <w:rsid w:val="00BD0E38"/>
    <w:pPr>
      <w:jc w:val="right"/>
    </w:pPr>
    <w:rPr>
      <w:b/>
      <w:sz w:val="28"/>
    </w:rPr>
  </w:style>
  <w:style w:type="table" w:styleId="Taulaambquadrcula">
    <w:name w:val="Table Grid"/>
    <w:basedOn w:val="Taula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
    <w:next w:val="Normal"/>
    <w:link w:val="DataCar"/>
    <w:uiPriority w:val="99"/>
    <w:semiHidden/>
    <w:unhideWhenUsed/>
    <w:rsid w:val="00BD0E38"/>
  </w:style>
  <w:style w:type="character" w:customStyle="1" w:styleId="DataCar">
    <w:name w:val="Data Car"/>
    <w:basedOn w:val="Lletraperdefectedelpargraf"/>
    <w:link w:val="Data"/>
    <w:uiPriority w:val="99"/>
    <w:semiHidden/>
    <w:rsid w:val="00BD0E38"/>
    <w:rPr>
      <w:rFonts w:ascii="Century Gothic" w:hAnsi="Century Gothic"/>
    </w:rPr>
  </w:style>
  <w:style w:type="character" w:styleId="Refernciadecomentari">
    <w:name w:val="annotation reference"/>
    <w:basedOn w:val="Lletraperdefectedelpargraf"/>
    <w:uiPriority w:val="99"/>
    <w:semiHidden/>
    <w:unhideWhenUsed/>
    <w:rsid w:val="00B109A6"/>
    <w:rPr>
      <w:sz w:val="18"/>
      <w:szCs w:val="18"/>
    </w:rPr>
  </w:style>
  <w:style w:type="paragraph" w:styleId="Textdecomentari">
    <w:name w:val="annotation text"/>
    <w:basedOn w:val="Normal"/>
    <w:link w:val="TextdecomentariCar"/>
    <w:uiPriority w:val="99"/>
    <w:semiHidden/>
    <w:unhideWhenUsed/>
    <w:rsid w:val="00B109A6"/>
  </w:style>
  <w:style w:type="character" w:customStyle="1" w:styleId="TextdecomentariCar">
    <w:name w:val="Text de comentari Car"/>
    <w:basedOn w:val="Lletraperdefectedelpargraf"/>
    <w:link w:val="Textdecomentari"/>
    <w:uiPriority w:val="99"/>
    <w:semiHidden/>
    <w:rsid w:val="00B109A6"/>
    <w:rPr>
      <w:rFonts w:ascii="Century Gothic" w:hAnsi="Century Gothic"/>
    </w:rPr>
  </w:style>
  <w:style w:type="paragraph" w:styleId="Temadelcomentari">
    <w:name w:val="annotation subject"/>
    <w:basedOn w:val="Textdecomentari"/>
    <w:next w:val="Textdecomentari"/>
    <w:link w:val="TemadelcomentariCar"/>
    <w:uiPriority w:val="99"/>
    <w:semiHidden/>
    <w:unhideWhenUsed/>
    <w:rsid w:val="00B109A6"/>
    <w:rPr>
      <w:b/>
      <w:bCs/>
      <w:sz w:val="20"/>
      <w:szCs w:val="20"/>
    </w:rPr>
  </w:style>
  <w:style w:type="character" w:customStyle="1" w:styleId="TemadelcomentariCar">
    <w:name w:val="Tema del comentari Car"/>
    <w:basedOn w:val="TextdecomentariCar"/>
    <w:link w:val="Temadelcomentari"/>
    <w:uiPriority w:val="99"/>
    <w:semiHidden/>
    <w:rsid w:val="00B109A6"/>
    <w:rPr>
      <w:rFonts w:ascii="Century Gothic" w:hAnsi="Century Gothic"/>
      <w:b/>
      <w:bCs/>
      <w:sz w:val="20"/>
      <w:szCs w:val="20"/>
    </w:rPr>
  </w:style>
  <w:style w:type="paragraph" w:styleId="Textdeglobus">
    <w:name w:val="Balloon Text"/>
    <w:basedOn w:val="Normal"/>
    <w:link w:val="TextdeglobusCar"/>
    <w:uiPriority w:val="99"/>
    <w:semiHidden/>
    <w:unhideWhenUsed/>
    <w:rsid w:val="00B109A6"/>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B109A6"/>
    <w:rPr>
      <w:rFonts w:ascii="Times New Roman" w:hAnsi="Times New Roman" w:cs="Times New Roman"/>
      <w:sz w:val="18"/>
      <w:szCs w:val="18"/>
    </w:rPr>
  </w:style>
  <w:style w:type="character" w:styleId="Enlla">
    <w:name w:val="Hyperlink"/>
    <w:basedOn w:val="Lletraperdefectedelpargraf"/>
    <w:uiPriority w:val="99"/>
    <w:unhideWhenUsed/>
    <w:rsid w:val="00803339"/>
    <w:rPr>
      <w:color w:val="0563C1" w:themeColor="hyperlink"/>
      <w:u w:val="single"/>
    </w:rPr>
  </w:style>
  <w:style w:type="character" w:customStyle="1" w:styleId="Ttol3Car">
    <w:name w:val="Títol 3 Car"/>
    <w:basedOn w:val="Lletraperdefectedelpargraf"/>
    <w:link w:val="Ttol3"/>
    <w:uiPriority w:val="9"/>
    <w:rsid w:val="00D561F7"/>
    <w:rPr>
      <w:rFonts w:ascii="Century Gothic" w:eastAsiaTheme="majorEastAsia" w:hAnsi="Century Gothic" w:cstheme="majorBidi"/>
      <w:bCs/>
      <w:color w:val="7030A0"/>
      <w:sz w:val="22"/>
    </w:rPr>
  </w:style>
  <w:style w:type="paragraph" w:styleId="Textdenotaapeudepgina">
    <w:name w:val="footnote text"/>
    <w:basedOn w:val="Normal"/>
    <w:link w:val="TextdenotaapeudepginaCar"/>
    <w:unhideWhenUsed/>
    <w:rsid w:val="00FF141E"/>
    <w:rPr>
      <w:rFonts w:ascii="Calibri" w:eastAsia="MS Mincho" w:hAnsi="Calibri" w:cs="Times New Roman"/>
      <w:sz w:val="20"/>
      <w:szCs w:val="20"/>
      <w:lang w:val="es-ES" w:eastAsia="es-ES"/>
    </w:rPr>
  </w:style>
  <w:style w:type="character" w:customStyle="1" w:styleId="TextdenotaapeudepginaCar">
    <w:name w:val="Text de nota a peu de pàgina Car"/>
    <w:basedOn w:val="Lletraperdefectedelpargraf"/>
    <w:link w:val="Textdenotaapeudepgina"/>
    <w:rsid w:val="00FF141E"/>
    <w:rPr>
      <w:rFonts w:ascii="Calibri" w:eastAsia="MS Mincho" w:hAnsi="Calibri" w:cs="Times New Roman"/>
      <w:sz w:val="20"/>
      <w:szCs w:val="20"/>
      <w:lang w:val="es-ES" w:eastAsia="es-ES"/>
    </w:rPr>
  </w:style>
  <w:style w:type="character" w:styleId="Refernciadenotaapeudepgina">
    <w:name w:val="footnote reference"/>
    <w:basedOn w:val="Lletraperdefectedelpargraf"/>
    <w:unhideWhenUsed/>
    <w:rsid w:val="00FF141E"/>
    <w:rPr>
      <w:vertAlign w:val="superscript"/>
    </w:rPr>
  </w:style>
  <w:style w:type="character" w:customStyle="1" w:styleId="PargrafdellistaCar">
    <w:name w:val="Paràgraf de llista Car"/>
    <w:link w:val="Pargrafdellista"/>
    <w:uiPriority w:val="34"/>
    <w:locked/>
    <w:rsid w:val="00FF141E"/>
    <w:rPr>
      <w:rFonts w:ascii="Century Gothic" w:hAnsi="Century Gothic"/>
    </w:rPr>
  </w:style>
  <w:style w:type="character" w:customStyle="1" w:styleId="Ttol4Car">
    <w:name w:val="Títol 4 Car"/>
    <w:basedOn w:val="Lletraperdefectedelpargraf"/>
    <w:link w:val="Ttol4"/>
    <w:rsid w:val="00CC1EBC"/>
    <w:rPr>
      <w:rFonts w:ascii="Times New Roman" w:eastAsia="Times New Roman" w:hAnsi="Times New Roman" w:cs="Times New Roman"/>
      <w:szCs w:val="20"/>
      <w:lang w:val="fr-FR"/>
    </w:rPr>
  </w:style>
  <w:style w:type="paragraph" w:customStyle="1" w:styleId="ListDash">
    <w:name w:val="List Dash"/>
    <w:basedOn w:val="Normal"/>
    <w:rsid w:val="00CC1EBC"/>
    <w:pPr>
      <w:numPr>
        <w:numId w:val="14"/>
      </w:numPr>
      <w:spacing w:after="240"/>
      <w:jc w:val="both"/>
    </w:pPr>
    <w:rPr>
      <w:rFonts w:ascii="Times New Roman" w:eastAsia="Times New Roman"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1487-B904-4AFA-ABBF-5BA3F209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2420</Words>
  <Characters>13796</Characters>
  <Application>Microsoft Office Word</Application>
  <DocSecurity>0</DocSecurity>
  <Lines>114</Lines>
  <Paragraphs>32</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Headings</vt:lpstr>
      </vt:variant>
      <vt:variant>
        <vt:i4>2</vt:i4>
      </vt:variant>
    </vt:vector>
  </HeadingPairs>
  <TitlesOfParts>
    <vt:vector size="5" baseType="lpstr">
      <vt:lpstr/>
      <vt:lpstr/>
      <vt:lpstr/>
      <vt:lpstr/>
      <vt:lpstr>Standard Word Document Template</vt:lpstr>
    </vt:vector>
  </TitlesOfParts>
  <Company>PAYMILL GmbH</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Aisling Walsh</dc:creator>
  <cp:lastModifiedBy>Albert Sorrosal</cp:lastModifiedBy>
  <cp:revision>3</cp:revision>
  <dcterms:created xsi:type="dcterms:W3CDTF">2020-07-16T15:30:00Z</dcterms:created>
  <dcterms:modified xsi:type="dcterms:W3CDTF">2020-07-16T15:38:00Z</dcterms:modified>
</cp:coreProperties>
</file>